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Pr="006E4CDB" w:rsidRDefault="00A459FD" w:rsidP="00A459FD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151B1E"/>
                <w:sz w:val="34"/>
                <w:szCs w:val="34"/>
                <w:lang w:eastAsia="pl-PL"/>
              </w:rPr>
            </w:pPr>
            <w:r>
              <w:t>Wojsko i polityka na</w:t>
            </w:r>
            <w:r w:rsidR="00B91D27">
              <w:t xml:space="preserve"> Bliski</w:t>
            </w:r>
            <w:r>
              <w:t>m Wschodzie</w:t>
            </w:r>
          </w:p>
        </w:tc>
      </w:tr>
      <w:tr w:rsidR="002D1A52" w:rsidRPr="0094214C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B91D27" w:rsidRDefault="00700DE3" w:rsidP="00A459FD">
            <w:pPr>
              <w:shd w:val="clear" w:color="auto" w:fill="FFFFFF"/>
              <w:spacing w:after="100" w:afterAutospacing="1"/>
              <w:outlineLvl w:val="1"/>
              <w:rPr>
                <w:lang w:val="en-US"/>
              </w:rPr>
            </w:pPr>
            <w:hyperlink r:id="rId8" w:history="1">
              <w:r w:rsidR="00A459FD">
                <w:rPr>
                  <w:lang w:val="en-US"/>
                </w:rPr>
                <w:t>War and Policy</w:t>
              </w:r>
              <w:r w:rsidR="00B91D27">
                <w:rPr>
                  <w:lang w:val="en-US"/>
                </w:rPr>
                <w:t xml:space="preserve"> i</w:t>
              </w:r>
              <w:r w:rsidR="00B91D27" w:rsidRPr="00B91D27">
                <w:rPr>
                  <w:lang w:val="en-US"/>
                </w:rPr>
                <w:t xml:space="preserve">n </w:t>
              </w:r>
              <w:r w:rsidR="00B91D27">
                <w:rPr>
                  <w:lang w:val="en-US"/>
                </w:rPr>
                <w:t>t</w:t>
              </w:r>
              <w:r w:rsidR="00B91D27" w:rsidRPr="00B91D27">
                <w:rPr>
                  <w:lang w:val="en-US"/>
                </w:rPr>
                <w:t>he Middle East</w:t>
              </w:r>
            </w:hyperlink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Pr="00B91D27" w:rsidRDefault="00B91D27" w:rsidP="00387F68">
            <w:proofErr w:type="spellStart"/>
            <w:r>
              <w:rPr>
                <w:lang w:val="en-GB"/>
              </w:rPr>
              <w:t>Bezpieczeństwo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narodowe</w:t>
            </w:r>
            <w:proofErr w:type="spellEnd"/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6E4CDB" w:rsidP="004B6051">
            <w:r>
              <w:t>I stopień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6E4CDB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B91D27" w:rsidP="004B6051">
            <w:r>
              <w:t>Nauki o bezpieczeństwie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2B2446" w:rsidP="002D1A52">
            <w:r>
              <w:t>polski</w:t>
            </w:r>
          </w:p>
        </w:tc>
      </w:tr>
    </w:tbl>
    <w:p w:rsidR="003501E6" w:rsidRDefault="003501E6" w:rsidP="004F73CF">
      <w:pPr>
        <w:spacing w:after="0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846DB2" w:rsidP="002D1A52">
            <w:r>
              <w:t>dr hab. Maciej Münnich, prof. KUL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CB533F">
        <w:tc>
          <w:tcPr>
            <w:tcW w:w="2285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B533F">
        <w:tc>
          <w:tcPr>
            <w:tcW w:w="2285" w:type="dxa"/>
          </w:tcPr>
          <w:p w:rsidR="003C473D" w:rsidRDefault="003C473D" w:rsidP="002D1A52">
            <w:r>
              <w:t>wykład</w:t>
            </w:r>
          </w:p>
        </w:tc>
        <w:tc>
          <w:tcPr>
            <w:tcW w:w="2258" w:type="dxa"/>
          </w:tcPr>
          <w:p w:rsidR="003C473D" w:rsidRDefault="00510BB7" w:rsidP="002D1A52">
            <w:r>
              <w:t>30</w:t>
            </w:r>
          </w:p>
        </w:tc>
        <w:tc>
          <w:tcPr>
            <w:tcW w:w="2261" w:type="dxa"/>
          </w:tcPr>
          <w:p w:rsidR="003C473D" w:rsidRDefault="00CB5A92" w:rsidP="002D1A52">
            <w:r>
              <w:t>V</w:t>
            </w:r>
          </w:p>
        </w:tc>
        <w:tc>
          <w:tcPr>
            <w:tcW w:w="2258" w:type="dxa"/>
            <w:vMerge w:val="restart"/>
          </w:tcPr>
          <w:p w:rsidR="003C473D" w:rsidRDefault="0094214C" w:rsidP="002D1A52">
            <w:r>
              <w:t>5</w:t>
            </w:r>
          </w:p>
        </w:tc>
      </w:tr>
      <w:tr w:rsidR="003C473D" w:rsidTr="00CB533F">
        <w:tc>
          <w:tcPr>
            <w:tcW w:w="2285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258" w:type="dxa"/>
          </w:tcPr>
          <w:p w:rsidR="003C473D" w:rsidRDefault="003C473D" w:rsidP="002D1A52"/>
        </w:tc>
        <w:tc>
          <w:tcPr>
            <w:tcW w:w="2261" w:type="dxa"/>
          </w:tcPr>
          <w:p w:rsidR="003C473D" w:rsidRDefault="003C473D" w:rsidP="002D1A52"/>
        </w:tc>
        <w:tc>
          <w:tcPr>
            <w:tcW w:w="2258" w:type="dxa"/>
            <w:vMerge/>
          </w:tcPr>
          <w:p w:rsidR="003C473D" w:rsidRDefault="003C473D" w:rsidP="002D1A52"/>
        </w:tc>
      </w:tr>
      <w:tr w:rsidR="00CB533F" w:rsidTr="00CB533F">
        <w:tc>
          <w:tcPr>
            <w:tcW w:w="2285" w:type="dxa"/>
          </w:tcPr>
          <w:p w:rsidR="00CB533F" w:rsidRDefault="00CB533F" w:rsidP="00CB533F">
            <w:r>
              <w:t>ćwiczenia</w:t>
            </w:r>
          </w:p>
        </w:tc>
        <w:tc>
          <w:tcPr>
            <w:tcW w:w="2258" w:type="dxa"/>
          </w:tcPr>
          <w:p w:rsidR="00CB533F" w:rsidRDefault="00CB533F" w:rsidP="00CB533F">
            <w:r>
              <w:t>15</w:t>
            </w:r>
          </w:p>
        </w:tc>
        <w:tc>
          <w:tcPr>
            <w:tcW w:w="2261" w:type="dxa"/>
          </w:tcPr>
          <w:p w:rsidR="00CB533F" w:rsidRDefault="00CB533F" w:rsidP="00CB533F">
            <w:r>
              <w:t>V</w:t>
            </w:r>
          </w:p>
        </w:tc>
        <w:tc>
          <w:tcPr>
            <w:tcW w:w="2258" w:type="dxa"/>
            <w:vMerge/>
          </w:tcPr>
          <w:p w:rsidR="00CB533F" w:rsidRDefault="00CB533F" w:rsidP="00CB533F"/>
        </w:tc>
      </w:tr>
      <w:tr w:rsidR="00CB533F" w:rsidTr="00CB533F">
        <w:tc>
          <w:tcPr>
            <w:tcW w:w="2285" w:type="dxa"/>
          </w:tcPr>
          <w:p w:rsidR="00CB533F" w:rsidRDefault="00CB533F" w:rsidP="00CB533F">
            <w:r>
              <w:t>laboratorium</w:t>
            </w:r>
          </w:p>
        </w:tc>
        <w:tc>
          <w:tcPr>
            <w:tcW w:w="2258" w:type="dxa"/>
          </w:tcPr>
          <w:p w:rsidR="00CB533F" w:rsidRDefault="00CB533F" w:rsidP="00CB533F"/>
        </w:tc>
        <w:tc>
          <w:tcPr>
            <w:tcW w:w="2261" w:type="dxa"/>
          </w:tcPr>
          <w:p w:rsidR="00CB533F" w:rsidRDefault="00CB533F" w:rsidP="00CB533F"/>
        </w:tc>
        <w:tc>
          <w:tcPr>
            <w:tcW w:w="2258" w:type="dxa"/>
            <w:vMerge/>
          </w:tcPr>
          <w:p w:rsidR="00CB533F" w:rsidRDefault="00CB533F" w:rsidP="00CB533F"/>
        </w:tc>
      </w:tr>
      <w:tr w:rsidR="00CB533F" w:rsidTr="00CB533F">
        <w:tc>
          <w:tcPr>
            <w:tcW w:w="2285" w:type="dxa"/>
          </w:tcPr>
          <w:p w:rsidR="00CB533F" w:rsidRDefault="00CB533F" w:rsidP="00CB533F">
            <w:r>
              <w:t>warsztaty</w:t>
            </w:r>
          </w:p>
        </w:tc>
        <w:tc>
          <w:tcPr>
            <w:tcW w:w="2258" w:type="dxa"/>
          </w:tcPr>
          <w:p w:rsidR="00CB533F" w:rsidRDefault="00CB533F" w:rsidP="00CB533F"/>
        </w:tc>
        <w:tc>
          <w:tcPr>
            <w:tcW w:w="2261" w:type="dxa"/>
          </w:tcPr>
          <w:p w:rsidR="00CB533F" w:rsidRDefault="00CB533F" w:rsidP="00CB533F"/>
        </w:tc>
        <w:tc>
          <w:tcPr>
            <w:tcW w:w="2258" w:type="dxa"/>
            <w:vMerge/>
          </w:tcPr>
          <w:p w:rsidR="00CB533F" w:rsidRDefault="00CB533F" w:rsidP="00CB533F"/>
        </w:tc>
      </w:tr>
      <w:tr w:rsidR="00CB533F" w:rsidTr="00CB533F">
        <w:tc>
          <w:tcPr>
            <w:tcW w:w="2285" w:type="dxa"/>
          </w:tcPr>
          <w:p w:rsidR="00CB533F" w:rsidRDefault="00CB533F" w:rsidP="00CB533F">
            <w:r>
              <w:t>seminarium</w:t>
            </w:r>
          </w:p>
        </w:tc>
        <w:tc>
          <w:tcPr>
            <w:tcW w:w="2258" w:type="dxa"/>
          </w:tcPr>
          <w:p w:rsidR="00CB533F" w:rsidRDefault="00CB533F" w:rsidP="00CB533F"/>
        </w:tc>
        <w:tc>
          <w:tcPr>
            <w:tcW w:w="2261" w:type="dxa"/>
          </w:tcPr>
          <w:p w:rsidR="00CB533F" w:rsidRDefault="00CB533F" w:rsidP="00CB533F"/>
        </w:tc>
        <w:tc>
          <w:tcPr>
            <w:tcW w:w="2258" w:type="dxa"/>
            <w:vMerge/>
          </w:tcPr>
          <w:p w:rsidR="00CB533F" w:rsidRDefault="00CB533F" w:rsidP="00CB533F"/>
        </w:tc>
      </w:tr>
      <w:tr w:rsidR="00CB533F" w:rsidTr="00CB533F">
        <w:tc>
          <w:tcPr>
            <w:tcW w:w="2285" w:type="dxa"/>
          </w:tcPr>
          <w:p w:rsidR="00CB533F" w:rsidRDefault="00CB533F" w:rsidP="00CB533F">
            <w:r>
              <w:t>proseminarium</w:t>
            </w:r>
          </w:p>
        </w:tc>
        <w:tc>
          <w:tcPr>
            <w:tcW w:w="2258" w:type="dxa"/>
          </w:tcPr>
          <w:p w:rsidR="00CB533F" w:rsidRDefault="00CB533F" w:rsidP="00CB533F"/>
        </w:tc>
        <w:tc>
          <w:tcPr>
            <w:tcW w:w="2261" w:type="dxa"/>
          </w:tcPr>
          <w:p w:rsidR="00CB533F" w:rsidRDefault="00CB533F" w:rsidP="00CB533F"/>
        </w:tc>
        <w:tc>
          <w:tcPr>
            <w:tcW w:w="2258" w:type="dxa"/>
            <w:vMerge/>
          </w:tcPr>
          <w:p w:rsidR="00CB533F" w:rsidRDefault="00CB533F" w:rsidP="00CB533F"/>
        </w:tc>
      </w:tr>
      <w:tr w:rsidR="00CB533F" w:rsidTr="00CB533F">
        <w:tc>
          <w:tcPr>
            <w:tcW w:w="2285" w:type="dxa"/>
          </w:tcPr>
          <w:p w:rsidR="00CB533F" w:rsidRDefault="00CB533F" w:rsidP="00CB533F">
            <w:r>
              <w:t>lektorat</w:t>
            </w:r>
          </w:p>
        </w:tc>
        <w:tc>
          <w:tcPr>
            <w:tcW w:w="2258" w:type="dxa"/>
          </w:tcPr>
          <w:p w:rsidR="00CB533F" w:rsidRDefault="00CB533F" w:rsidP="00CB533F"/>
        </w:tc>
        <w:tc>
          <w:tcPr>
            <w:tcW w:w="2261" w:type="dxa"/>
          </w:tcPr>
          <w:p w:rsidR="00CB533F" w:rsidRDefault="00CB533F" w:rsidP="00CB533F"/>
        </w:tc>
        <w:tc>
          <w:tcPr>
            <w:tcW w:w="2258" w:type="dxa"/>
            <w:vMerge/>
          </w:tcPr>
          <w:p w:rsidR="00CB533F" w:rsidRDefault="00CB533F" w:rsidP="00CB533F"/>
        </w:tc>
      </w:tr>
      <w:tr w:rsidR="00CB533F" w:rsidTr="00CB533F">
        <w:tc>
          <w:tcPr>
            <w:tcW w:w="2285" w:type="dxa"/>
          </w:tcPr>
          <w:p w:rsidR="00CB533F" w:rsidRDefault="00CB533F" w:rsidP="00CB533F">
            <w:r>
              <w:t>praktyki</w:t>
            </w:r>
          </w:p>
        </w:tc>
        <w:tc>
          <w:tcPr>
            <w:tcW w:w="2258" w:type="dxa"/>
          </w:tcPr>
          <w:p w:rsidR="00CB533F" w:rsidRDefault="00CB533F" w:rsidP="00CB533F"/>
        </w:tc>
        <w:tc>
          <w:tcPr>
            <w:tcW w:w="2261" w:type="dxa"/>
          </w:tcPr>
          <w:p w:rsidR="00CB533F" w:rsidRDefault="00CB533F" w:rsidP="00CB533F"/>
        </w:tc>
        <w:tc>
          <w:tcPr>
            <w:tcW w:w="2258" w:type="dxa"/>
            <w:vMerge/>
          </w:tcPr>
          <w:p w:rsidR="00CB533F" w:rsidRDefault="00CB533F" w:rsidP="00CB533F"/>
        </w:tc>
      </w:tr>
      <w:tr w:rsidR="00CB533F" w:rsidTr="00CB533F">
        <w:tc>
          <w:tcPr>
            <w:tcW w:w="2285" w:type="dxa"/>
          </w:tcPr>
          <w:p w:rsidR="00CB533F" w:rsidRDefault="00CB533F" w:rsidP="00CB533F">
            <w:r>
              <w:t>zajęcia terenowe</w:t>
            </w:r>
          </w:p>
        </w:tc>
        <w:tc>
          <w:tcPr>
            <w:tcW w:w="2258" w:type="dxa"/>
          </w:tcPr>
          <w:p w:rsidR="00CB533F" w:rsidRDefault="00CB533F" w:rsidP="00CB533F"/>
        </w:tc>
        <w:tc>
          <w:tcPr>
            <w:tcW w:w="2261" w:type="dxa"/>
          </w:tcPr>
          <w:p w:rsidR="00CB533F" w:rsidRDefault="00CB533F" w:rsidP="00CB533F"/>
        </w:tc>
        <w:tc>
          <w:tcPr>
            <w:tcW w:w="2258" w:type="dxa"/>
            <w:vMerge/>
          </w:tcPr>
          <w:p w:rsidR="00CB533F" w:rsidRDefault="00CB533F" w:rsidP="00CB533F"/>
        </w:tc>
      </w:tr>
      <w:tr w:rsidR="00CB533F" w:rsidTr="00CB533F">
        <w:tc>
          <w:tcPr>
            <w:tcW w:w="2285" w:type="dxa"/>
          </w:tcPr>
          <w:p w:rsidR="00CB533F" w:rsidRDefault="00CB533F" w:rsidP="00CB533F">
            <w:r>
              <w:t>pracownia dyplomowa</w:t>
            </w:r>
          </w:p>
        </w:tc>
        <w:tc>
          <w:tcPr>
            <w:tcW w:w="2258" w:type="dxa"/>
          </w:tcPr>
          <w:p w:rsidR="00CB533F" w:rsidRDefault="00CB533F" w:rsidP="00CB533F"/>
        </w:tc>
        <w:tc>
          <w:tcPr>
            <w:tcW w:w="2261" w:type="dxa"/>
          </w:tcPr>
          <w:p w:rsidR="00CB533F" w:rsidRDefault="00CB533F" w:rsidP="00CB533F"/>
        </w:tc>
        <w:tc>
          <w:tcPr>
            <w:tcW w:w="2258" w:type="dxa"/>
            <w:vMerge/>
          </w:tcPr>
          <w:p w:rsidR="00CB533F" w:rsidRDefault="00CB533F" w:rsidP="00CB533F"/>
        </w:tc>
      </w:tr>
      <w:tr w:rsidR="00CB533F" w:rsidTr="00CB533F">
        <w:tc>
          <w:tcPr>
            <w:tcW w:w="2285" w:type="dxa"/>
          </w:tcPr>
          <w:p w:rsidR="00CB533F" w:rsidRDefault="00CB533F" w:rsidP="00CB533F">
            <w:proofErr w:type="spellStart"/>
            <w:r>
              <w:t>translatorium</w:t>
            </w:r>
            <w:proofErr w:type="spellEnd"/>
          </w:p>
        </w:tc>
        <w:tc>
          <w:tcPr>
            <w:tcW w:w="2258" w:type="dxa"/>
          </w:tcPr>
          <w:p w:rsidR="00CB533F" w:rsidRDefault="00CB533F" w:rsidP="00CB533F"/>
        </w:tc>
        <w:tc>
          <w:tcPr>
            <w:tcW w:w="2261" w:type="dxa"/>
          </w:tcPr>
          <w:p w:rsidR="00CB533F" w:rsidRDefault="00CB533F" w:rsidP="00CB533F"/>
        </w:tc>
        <w:tc>
          <w:tcPr>
            <w:tcW w:w="2258" w:type="dxa"/>
            <w:vMerge/>
          </w:tcPr>
          <w:p w:rsidR="00CB533F" w:rsidRDefault="00CB533F" w:rsidP="00CB533F"/>
        </w:tc>
      </w:tr>
      <w:tr w:rsidR="00CB533F" w:rsidTr="00CB533F">
        <w:tc>
          <w:tcPr>
            <w:tcW w:w="2285" w:type="dxa"/>
          </w:tcPr>
          <w:p w:rsidR="00CB533F" w:rsidRDefault="00CB533F" w:rsidP="00CB533F">
            <w:r>
              <w:t>wizyta studyjna</w:t>
            </w:r>
          </w:p>
        </w:tc>
        <w:tc>
          <w:tcPr>
            <w:tcW w:w="2258" w:type="dxa"/>
          </w:tcPr>
          <w:p w:rsidR="00CB533F" w:rsidRDefault="00CB533F" w:rsidP="00CB533F"/>
        </w:tc>
        <w:tc>
          <w:tcPr>
            <w:tcW w:w="2261" w:type="dxa"/>
          </w:tcPr>
          <w:p w:rsidR="00CB533F" w:rsidRDefault="00CB533F" w:rsidP="00CB533F"/>
        </w:tc>
        <w:tc>
          <w:tcPr>
            <w:tcW w:w="2258" w:type="dxa"/>
            <w:vMerge/>
          </w:tcPr>
          <w:p w:rsidR="00CB533F" w:rsidRDefault="00CB533F" w:rsidP="00CB533F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4"/>
        <w:gridCol w:w="6848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B91D27" w:rsidP="002D1A52">
            <w:r w:rsidRPr="00B91D27">
              <w:t>Śledzenie bieżącej sytuacji polityczno-militarnej na Bliskim Wschodzie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11209E">
        <w:tc>
          <w:tcPr>
            <w:tcW w:w="9062" w:type="dxa"/>
          </w:tcPr>
          <w:p w:rsidR="00B91D27" w:rsidRDefault="00B91D27" w:rsidP="00B91D27">
            <w:r>
              <w:t xml:space="preserve">1. </w:t>
            </w:r>
            <w:r w:rsidRPr="00B91D27">
              <w:t>Celem wykładu jest zapoznanie studentów z problematyką bezpieczeństwa na współczesnym Bliskim Wschodzie. Aby ją zrozumieć konieczne jest jednak wprowadzenie historyczne ukazujące korzenie obecnych konfliktów.</w:t>
            </w:r>
            <w:r w:rsidRPr="0011209E">
              <w:t xml:space="preserve"> </w:t>
            </w:r>
          </w:p>
          <w:p w:rsidR="004F73CF" w:rsidRDefault="00B91D27" w:rsidP="00B91D27">
            <w:r>
              <w:t xml:space="preserve">2. </w:t>
            </w:r>
            <w:r w:rsidRPr="00B91D27">
              <w:t>Ćwiczenia mają na celu zapoznanie studentów z wybranym materiałem źródłowym dotyczącym zagadnień bezpieczeństwa na Bliskim Wschodzie. Na tej podstawie studenci uczyć się będą samodzielności w formułowaniu opinii oraz dostrzegania manipulacji używanych przez różne strony konfliktów.</w:t>
            </w:r>
            <w:r w:rsidRPr="0011209E">
              <w:t xml:space="preserve"> 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461057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61057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61057">
        <w:tc>
          <w:tcPr>
            <w:tcW w:w="1095" w:type="dxa"/>
          </w:tcPr>
          <w:p w:rsidR="004F73CF" w:rsidRDefault="00516FCB" w:rsidP="004F73CF">
            <w:r>
              <w:t>W</w:t>
            </w:r>
            <w:r w:rsidR="00EF1C6F">
              <w:t>_</w:t>
            </w:r>
            <w:r>
              <w:t>01</w:t>
            </w:r>
          </w:p>
        </w:tc>
        <w:tc>
          <w:tcPr>
            <w:tcW w:w="5829" w:type="dxa"/>
          </w:tcPr>
          <w:p w:rsidR="004F73CF" w:rsidRDefault="005A2889" w:rsidP="005A2889">
            <w:r>
              <w:t xml:space="preserve">Absolwent rozumie istotę oraz uwarunkowania polityki </w:t>
            </w:r>
            <w:r w:rsidR="00516FCB">
              <w:t>bezpieczeństwa na Bliskim Wschodzie.</w:t>
            </w:r>
          </w:p>
        </w:tc>
        <w:tc>
          <w:tcPr>
            <w:tcW w:w="2138" w:type="dxa"/>
          </w:tcPr>
          <w:p w:rsidR="00516FCB" w:rsidRDefault="00EF1C6F" w:rsidP="00221C60">
            <w:r>
              <w:t>K_W02</w:t>
            </w:r>
            <w:r w:rsidR="00516FCB">
              <w:t xml:space="preserve"> </w:t>
            </w:r>
          </w:p>
          <w:p w:rsidR="004F73CF" w:rsidRDefault="004F73CF" w:rsidP="00221C60"/>
        </w:tc>
      </w:tr>
      <w:tr w:rsidR="00BC34E6" w:rsidTr="00461057">
        <w:tc>
          <w:tcPr>
            <w:tcW w:w="1095" w:type="dxa"/>
          </w:tcPr>
          <w:p w:rsidR="00BC34E6" w:rsidRDefault="00BC34E6" w:rsidP="004F73CF">
            <w:r>
              <w:t>W_02</w:t>
            </w:r>
          </w:p>
        </w:tc>
        <w:tc>
          <w:tcPr>
            <w:tcW w:w="5829" w:type="dxa"/>
          </w:tcPr>
          <w:p w:rsidR="00BC34E6" w:rsidRDefault="00BC34E6" w:rsidP="005A2889">
            <w:r>
              <w:t>Absolwent posiada podstawową wiedzę nt. bezpieczeństwa w rejonie Bliskiego Wschodu</w:t>
            </w:r>
          </w:p>
        </w:tc>
        <w:tc>
          <w:tcPr>
            <w:tcW w:w="2138" w:type="dxa"/>
          </w:tcPr>
          <w:p w:rsidR="00BC34E6" w:rsidRDefault="00BC34E6" w:rsidP="00221C60">
            <w:r>
              <w:t>K_W08</w:t>
            </w:r>
          </w:p>
        </w:tc>
      </w:tr>
      <w:tr w:rsidR="004F73CF" w:rsidTr="00461057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Tr="00461057">
        <w:tc>
          <w:tcPr>
            <w:tcW w:w="1095" w:type="dxa"/>
          </w:tcPr>
          <w:p w:rsidR="004F73CF" w:rsidRDefault="00516FCB" w:rsidP="004F73CF">
            <w:r>
              <w:t>U</w:t>
            </w:r>
            <w:r w:rsidR="00EF1C6F">
              <w:t>_</w:t>
            </w:r>
            <w:r>
              <w:t>01</w:t>
            </w:r>
          </w:p>
        </w:tc>
        <w:tc>
          <w:tcPr>
            <w:tcW w:w="5829" w:type="dxa"/>
          </w:tcPr>
          <w:p w:rsidR="004F73CF" w:rsidRPr="00461057" w:rsidRDefault="00BC34E6" w:rsidP="00BC34E6">
            <w:pPr>
              <w:rPr>
                <w:color w:val="000000" w:themeColor="text1"/>
                <w:szCs w:val="24"/>
              </w:rPr>
            </w:pPr>
            <w:r>
              <w:t>Absolwent potrafi wykorzystać zdobytą wiedzę teoretyczną do analizowania i wyjaśniania kwestii szczegółowych dot. zagadnień bezpieczeństwa na Bliskim Wschodzie.</w:t>
            </w:r>
          </w:p>
        </w:tc>
        <w:tc>
          <w:tcPr>
            <w:tcW w:w="2138" w:type="dxa"/>
          </w:tcPr>
          <w:p w:rsidR="00516FCB" w:rsidRDefault="00EF1C6F" w:rsidP="004F73CF">
            <w:r>
              <w:t>K</w:t>
            </w:r>
            <w:r w:rsidR="00516FCB">
              <w:t xml:space="preserve">_U01 </w:t>
            </w:r>
          </w:p>
          <w:p w:rsidR="004F73CF" w:rsidRDefault="004F73CF" w:rsidP="004F73CF"/>
        </w:tc>
      </w:tr>
      <w:tr w:rsidR="00BC34E6" w:rsidTr="00461057">
        <w:tc>
          <w:tcPr>
            <w:tcW w:w="1095" w:type="dxa"/>
          </w:tcPr>
          <w:p w:rsidR="00BC34E6" w:rsidRDefault="00BC34E6" w:rsidP="004F73CF">
            <w:r>
              <w:t>U_02</w:t>
            </w:r>
          </w:p>
        </w:tc>
        <w:tc>
          <w:tcPr>
            <w:tcW w:w="5829" w:type="dxa"/>
          </w:tcPr>
          <w:p w:rsidR="00BC34E6" w:rsidRDefault="00BC34E6" w:rsidP="00BC34E6">
            <w:r>
              <w:t>Absolwent potrafi prawidłowo oceniać zagrożenia dla bezpieczeństwa w rejonie Bliskiego Wschodu i identyfikować ich przyczyny</w:t>
            </w:r>
          </w:p>
        </w:tc>
        <w:tc>
          <w:tcPr>
            <w:tcW w:w="2138" w:type="dxa"/>
          </w:tcPr>
          <w:p w:rsidR="00BC34E6" w:rsidRDefault="00BC34E6" w:rsidP="004F73CF">
            <w:r>
              <w:t>K_U06</w:t>
            </w:r>
          </w:p>
        </w:tc>
      </w:tr>
      <w:tr w:rsidR="004F73CF" w:rsidTr="00461057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61057" w:rsidTr="00461057">
        <w:tc>
          <w:tcPr>
            <w:tcW w:w="1095" w:type="dxa"/>
          </w:tcPr>
          <w:p w:rsidR="00461057" w:rsidRDefault="00516FCB" w:rsidP="00461057">
            <w:r>
              <w:t>K</w:t>
            </w:r>
            <w:r w:rsidR="00EF1C6F">
              <w:t>_</w:t>
            </w:r>
            <w:r>
              <w:t>01</w:t>
            </w:r>
          </w:p>
        </w:tc>
        <w:tc>
          <w:tcPr>
            <w:tcW w:w="5829" w:type="dxa"/>
          </w:tcPr>
          <w:p w:rsidR="00461057" w:rsidRPr="00506DEC" w:rsidRDefault="00BC34E6" w:rsidP="00BC34E6">
            <w:pPr>
              <w:rPr>
                <w:color w:val="000000" w:themeColor="text1"/>
                <w:szCs w:val="24"/>
              </w:rPr>
            </w:pPr>
            <w:r>
              <w:t>Absolwent posiada wiedzę w zakresie bezpieczeństwa</w:t>
            </w:r>
            <w:r w:rsidR="00912F18">
              <w:t xml:space="preserve"> Bliskiego Wschodu</w:t>
            </w:r>
            <w:r>
              <w:t xml:space="preserve">, która może być wykorzystana w praktyce związanej z pracą w administracji </w:t>
            </w:r>
          </w:p>
        </w:tc>
        <w:tc>
          <w:tcPr>
            <w:tcW w:w="2138" w:type="dxa"/>
          </w:tcPr>
          <w:p w:rsidR="00461057" w:rsidRDefault="00EF1C6F" w:rsidP="00DA0D09">
            <w:r>
              <w:t>K</w:t>
            </w:r>
            <w:r w:rsidR="00BC34E6">
              <w:t>_K02</w:t>
            </w:r>
          </w:p>
        </w:tc>
      </w:tr>
      <w:tr w:rsidR="00BC34E6" w:rsidTr="00461057">
        <w:tc>
          <w:tcPr>
            <w:tcW w:w="1095" w:type="dxa"/>
          </w:tcPr>
          <w:p w:rsidR="00BC34E6" w:rsidRDefault="00912F18" w:rsidP="00461057">
            <w:r>
              <w:t>K_02</w:t>
            </w:r>
          </w:p>
        </w:tc>
        <w:tc>
          <w:tcPr>
            <w:tcW w:w="5829" w:type="dxa"/>
          </w:tcPr>
          <w:p w:rsidR="00BC34E6" w:rsidRDefault="00912F18" w:rsidP="00912F18">
            <w:r>
              <w:t>Absolwent jest przygotowany do samodzielnego zdobywania i doskonalenia wiedzy oraz umiejętności związanych z zagadnieniami bezpieczeństwa Bliskiego Wschodu oraz rozumie potrzebę stałego dokształcania się i podnoszenia własnych kwalifikacji zawodowych</w:t>
            </w:r>
          </w:p>
        </w:tc>
        <w:tc>
          <w:tcPr>
            <w:tcW w:w="2138" w:type="dxa"/>
          </w:tcPr>
          <w:p w:rsidR="00BC34E6" w:rsidRDefault="00912F18" w:rsidP="00DA0D09">
            <w:r>
              <w:t>K_K04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E7F" w:rsidTr="00F567AB">
        <w:tc>
          <w:tcPr>
            <w:tcW w:w="9062" w:type="dxa"/>
          </w:tcPr>
          <w:p w:rsidR="00F25E7F" w:rsidRDefault="00F25E7F" w:rsidP="00F25E7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Dla wykładu: </w:t>
            </w:r>
          </w:p>
          <w:p w:rsidR="00F25E7F" w:rsidRDefault="00F25E7F" w:rsidP="00F25E7F">
            <w:r w:rsidRPr="00516FCB">
              <w:t>1. Zajęcia wstępne</w:t>
            </w:r>
            <w:r w:rsidRPr="00516FCB">
              <w:br/>
              <w:t>2. Upadek Imperium Osmańskiego i nowy porządek na Bliskim Wschodzie (1914-1923)</w:t>
            </w:r>
            <w:r w:rsidRPr="00516FCB">
              <w:br/>
              <w:t>3. Dwudziestolecie Międzywojenne i II Wojna Światowa na Bliskim Wschodzie (1923-1945)</w:t>
            </w:r>
            <w:r w:rsidRPr="00516FCB">
              <w:br/>
              <w:t>4. Izrael/Palestyna 1948-1967</w:t>
            </w:r>
            <w:r w:rsidRPr="00516FCB">
              <w:br/>
              <w:t>5. Izrael/Palestyna 1967-1983</w:t>
            </w:r>
            <w:r w:rsidRPr="00516FCB">
              <w:br/>
              <w:t>6. Syria i Liban</w:t>
            </w:r>
            <w:r w:rsidRPr="00516FCB">
              <w:br/>
              <w:t>7. Irak i Iran</w:t>
            </w:r>
            <w:r w:rsidRPr="00516FCB">
              <w:br/>
              <w:t>8. Turcja</w:t>
            </w:r>
            <w:r w:rsidRPr="00516FCB">
              <w:br/>
            </w:r>
            <w:r>
              <w:t>9</w:t>
            </w:r>
            <w:r w:rsidRPr="00516FCB">
              <w:t>. Kraje Półwyspu Arabskiego</w:t>
            </w:r>
            <w:r w:rsidRPr="00516FCB">
              <w:br/>
              <w:t>1</w:t>
            </w:r>
            <w:r>
              <w:t>0. Izrael/Palestyna po 1983</w:t>
            </w:r>
            <w:r>
              <w:br/>
              <w:t>11</w:t>
            </w:r>
            <w:r w:rsidRPr="00516FCB">
              <w:t>. Irak po 2003</w:t>
            </w:r>
            <w:r w:rsidRPr="00516FCB">
              <w:br/>
            </w:r>
            <w:r>
              <w:t>12. Arabska Wiosna 1</w:t>
            </w:r>
          </w:p>
          <w:p w:rsidR="00F25E7F" w:rsidRPr="00516FCB" w:rsidRDefault="00F25E7F" w:rsidP="00F25E7F">
            <w:r w:rsidRPr="00516FCB">
              <w:t>13. Arabska Wiosna</w:t>
            </w:r>
            <w:r>
              <w:t xml:space="preserve"> 2</w:t>
            </w:r>
            <w:r w:rsidRPr="00516FCB">
              <w:br/>
              <w:t>14. Syria po 2011</w:t>
            </w:r>
          </w:p>
          <w:p w:rsidR="00F25E7F" w:rsidRPr="00516FCB" w:rsidRDefault="00F25E7F" w:rsidP="00F25E7F"/>
          <w:p w:rsidR="00F25E7F" w:rsidRPr="00516FCB" w:rsidRDefault="00F25E7F" w:rsidP="00F25E7F">
            <w:r w:rsidRPr="00516FCB">
              <w:t>Dla konwersatorium:</w:t>
            </w:r>
          </w:p>
          <w:p w:rsidR="00F25E7F" w:rsidRPr="00095BE5" w:rsidRDefault="00F25E7F" w:rsidP="00F25E7F">
            <w:pPr>
              <w:rPr>
                <w:lang w:val="en-GB"/>
              </w:rPr>
            </w:pPr>
            <w:r w:rsidRPr="00095BE5">
              <w:rPr>
                <w:rFonts w:eastAsia="Times New Roman" w:cs="Times New Roman"/>
                <w:lang w:eastAsia="pl-PL"/>
              </w:rPr>
              <w:t xml:space="preserve">1. Zajęcia wstępne </w:t>
            </w:r>
            <w:r w:rsidRPr="00095BE5">
              <w:rPr>
                <w:rFonts w:eastAsia="Times New Roman" w:cs="Times New Roman"/>
                <w:lang w:eastAsia="pl-PL"/>
              </w:rPr>
              <w:br/>
              <w:t xml:space="preserve">2. Upadek Imperium Osmańskiego i nowy porządek na Bliskim Wschodzie (1914-1923) </w:t>
            </w:r>
            <w:r w:rsidRPr="00D116BC">
              <w:t>(</w:t>
            </w:r>
            <w:r>
              <w:t xml:space="preserve">korespondencja </w:t>
            </w:r>
            <w:proofErr w:type="spellStart"/>
            <w:r w:rsidRPr="00D116BC">
              <w:t>McMahon-Husejn</w:t>
            </w:r>
            <w:proofErr w:type="spellEnd"/>
            <w:r w:rsidRPr="00D116BC">
              <w:t xml:space="preserve">: </w:t>
            </w:r>
            <w:hyperlink r:id="rId9" w:history="1">
              <w:r w:rsidRPr="00D116BC">
                <w:rPr>
                  <w:rStyle w:val="Hipercze"/>
                </w:rPr>
                <w:t>https://en.wikisource.org/wiki/McMahon%E2%80%93Hussein_Correspondence</w:t>
              </w:r>
            </w:hyperlink>
            <w:r w:rsidRPr="00D116BC">
              <w:t xml:space="preserve"> (</w:t>
            </w:r>
            <w:proofErr w:type="spellStart"/>
            <w:r w:rsidRPr="00D116BC">
              <w:t>esp</w:t>
            </w:r>
            <w:proofErr w:type="spellEnd"/>
            <w:r w:rsidRPr="00D116BC">
              <w:t xml:space="preserve">. </w:t>
            </w:r>
            <w:r w:rsidRPr="00095BE5">
              <w:rPr>
                <w:lang w:val="en-GB"/>
              </w:rPr>
              <w:t xml:space="preserve">Since July 14th, 1915 to October 24th, 1915; </w:t>
            </w:r>
            <w:proofErr w:type="spellStart"/>
            <w:r w:rsidRPr="00095BE5">
              <w:rPr>
                <w:lang w:val="en-GB"/>
              </w:rPr>
              <w:t>Porozumienie</w:t>
            </w:r>
            <w:proofErr w:type="spellEnd"/>
            <w:r w:rsidRPr="00095BE5">
              <w:rPr>
                <w:lang w:val="en-GB"/>
              </w:rPr>
              <w:t xml:space="preserve"> Sykes-Picot: </w:t>
            </w:r>
            <w:hyperlink r:id="rId10" w:history="1">
              <w:r w:rsidRPr="00095BE5">
                <w:rPr>
                  <w:rStyle w:val="Hipercze"/>
                  <w:lang w:val="en-GB"/>
                </w:rPr>
                <w:t>https://wwi.lib.byu.edu/index.php/Sykes-Picot_Agreement</w:t>
              </w:r>
            </w:hyperlink>
            <w:r w:rsidRPr="00095BE5">
              <w:rPr>
                <w:lang w:val="en-GB"/>
              </w:rPr>
              <w:t xml:space="preserve">, </w:t>
            </w:r>
            <w:hyperlink r:id="rId11" w:history="1">
              <w:r w:rsidRPr="00095BE5">
                <w:rPr>
                  <w:rStyle w:val="Hipercze"/>
                  <w:lang w:val="en-GB"/>
                </w:rPr>
                <w:t>https://pl.wikipedia.org/wiki/Umowa_Sykes-Picot</w:t>
              </w:r>
            </w:hyperlink>
            <w:r w:rsidRPr="00095BE5">
              <w:rPr>
                <w:lang w:val="en-GB"/>
              </w:rPr>
              <w:t xml:space="preserve">; </w:t>
            </w:r>
            <w:proofErr w:type="spellStart"/>
            <w:r w:rsidRPr="00095BE5">
              <w:rPr>
                <w:lang w:val="en-GB"/>
              </w:rPr>
              <w:t>Deklaracja</w:t>
            </w:r>
            <w:proofErr w:type="spellEnd"/>
            <w:r w:rsidRPr="00095BE5">
              <w:rPr>
                <w:lang w:val="en-GB"/>
              </w:rPr>
              <w:t xml:space="preserve"> </w:t>
            </w:r>
            <w:proofErr w:type="spellStart"/>
            <w:r w:rsidRPr="00095BE5">
              <w:rPr>
                <w:lang w:val="en-GB"/>
              </w:rPr>
              <w:t>Balfoura</w:t>
            </w:r>
            <w:proofErr w:type="spellEnd"/>
            <w:r w:rsidRPr="00095BE5">
              <w:rPr>
                <w:lang w:val="en-GB"/>
              </w:rPr>
              <w:t xml:space="preserve">: </w:t>
            </w:r>
            <w:hyperlink r:id="rId12" w:history="1">
              <w:r w:rsidRPr="00095BE5">
                <w:rPr>
                  <w:rStyle w:val="Hipercze"/>
                  <w:lang w:val="en-GB"/>
                </w:rPr>
                <w:t>https://www.jewishvirtuallibrary.org/text-of-the-balfour-declaration</w:t>
              </w:r>
            </w:hyperlink>
            <w:r w:rsidRPr="00095BE5">
              <w:rPr>
                <w:lang w:val="en-GB"/>
              </w:rPr>
              <w:t xml:space="preserve">, </w:t>
            </w:r>
            <w:hyperlink r:id="rId13" w:history="1">
              <w:r w:rsidRPr="00095BE5">
                <w:rPr>
                  <w:rStyle w:val="Hipercze"/>
                  <w:lang w:val="en-GB"/>
                </w:rPr>
                <w:t>https://pl.wikipedia.org/wiki/Deklaracja_Balfoura</w:t>
              </w:r>
            </w:hyperlink>
            <w:r>
              <w:rPr>
                <w:lang w:val="en-GB"/>
              </w:rPr>
              <w:t>)</w:t>
            </w:r>
            <w:r w:rsidRPr="00095BE5">
              <w:rPr>
                <w:lang w:val="en-GB"/>
              </w:rPr>
              <w:t>.</w:t>
            </w:r>
          </w:p>
          <w:p w:rsidR="00F25E7F" w:rsidRPr="00461057" w:rsidRDefault="00F25E7F" w:rsidP="00F25E7F">
            <w:pPr>
              <w:rPr>
                <w:rFonts w:ascii="Arial" w:hAnsi="Arial" w:cs="Arial"/>
                <w:color w:val="333333"/>
                <w:shd w:val="clear" w:color="auto" w:fill="EEEEEE"/>
              </w:rPr>
            </w:pPr>
            <w:r w:rsidRPr="00516FCB">
              <w:rPr>
                <w:rFonts w:eastAsia="Times New Roman" w:cs="Times New Roman"/>
                <w:lang w:eastAsia="pl-PL"/>
              </w:rPr>
              <w:t>3. Dwudziestolecie Międzywojenne i II Wojna Światowa na Bliskim Wschodzie (1923-1948) (Rezolucja Zgromadzenia Ogólnego ONZ nr 181 z 29 XI 1947 w sprawie podziału Palestyny</w:t>
            </w:r>
            <w:r>
              <w:rPr>
                <w:rFonts w:eastAsia="Times New Roman" w:cs="Times New Roman"/>
                <w:lang w:eastAsia="pl-PL"/>
              </w:rPr>
              <w:t xml:space="preserve">: </w:t>
            </w:r>
            <w:hyperlink r:id="rId14" w:history="1">
              <w:r w:rsidRPr="00095BE5">
                <w:rPr>
                  <w:rStyle w:val="Hipercze"/>
                </w:rPr>
                <w:t>https://www.un.org/en/ga/search/view_doc.asp?symbol=A/RES/181(II)</w:t>
              </w:r>
            </w:hyperlink>
            <w:r>
              <w:rPr>
                <w:rFonts w:eastAsia="Times New Roman" w:cs="Times New Roman"/>
                <w:lang w:eastAsia="pl-PL"/>
              </w:rPr>
              <w:t xml:space="preserve">, </w:t>
            </w:r>
            <w:hyperlink r:id="rId15" w:history="1">
              <w:r w:rsidRPr="00295017">
                <w:rPr>
                  <w:rStyle w:val="Hipercze"/>
                  <w:rFonts w:eastAsia="Times New Roman" w:cs="Times New Roman"/>
                  <w:lang w:eastAsia="pl-PL"/>
                </w:rPr>
                <w:t>https://pl.wikipedia.org/wiki/Rezolucja_Zgromadzenia_Og%C3%B3lnego_ONZ_nr_181</w:t>
              </w:r>
            </w:hyperlink>
            <w:r>
              <w:rPr>
                <w:rFonts w:eastAsia="Times New Roman" w:cs="Times New Roman"/>
                <w:lang w:eastAsia="pl-PL"/>
              </w:rPr>
              <w:t xml:space="preserve">). </w:t>
            </w:r>
            <w:r w:rsidRPr="00516FCB">
              <w:rPr>
                <w:rFonts w:eastAsia="Times New Roman" w:cs="Times New Roman"/>
                <w:lang w:eastAsia="pl-PL"/>
              </w:rPr>
              <w:t> </w:t>
            </w:r>
            <w:r w:rsidRPr="00516FCB">
              <w:rPr>
                <w:rFonts w:eastAsia="Times New Roman" w:cs="Times New Roman"/>
                <w:lang w:eastAsia="pl-PL"/>
              </w:rPr>
              <w:br/>
              <w:t xml:space="preserve">4. Izrael/Palestyna 1948-1967 (Rezolucja Rady </w:t>
            </w:r>
            <w:r>
              <w:rPr>
                <w:rFonts w:eastAsia="Times New Roman" w:cs="Times New Roman"/>
                <w:lang w:eastAsia="pl-PL"/>
              </w:rPr>
              <w:t xml:space="preserve">Polityki międzynarodowej </w:t>
            </w:r>
            <w:r w:rsidRPr="00516FCB">
              <w:rPr>
                <w:rFonts w:eastAsia="Times New Roman" w:cs="Times New Roman"/>
                <w:lang w:eastAsia="pl-PL"/>
              </w:rPr>
              <w:t xml:space="preserve"> ONZ nr 242 z 22 XI 1967</w:t>
            </w:r>
            <w:r>
              <w:rPr>
                <w:rFonts w:eastAsia="Times New Roman" w:cs="Times New Roman"/>
                <w:lang w:eastAsia="pl-PL"/>
              </w:rPr>
              <w:t xml:space="preserve">: </w:t>
            </w:r>
            <w:hyperlink r:id="rId16" w:history="1">
              <w:r w:rsidRPr="00095BE5">
                <w:rPr>
                  <w:rStyle w:val="Hipercze"/>
                </w:rPr>
                <w:t>https://undocs.org/S/RES/242(1967)</w:t>
              </w:r>
            </w:hyperlink>
            <w:r>
              <w:rPr>
                <w:rFonts w:eastAsia="Times New Roman" w:cs="Times New Roman"/>
                <w:lang w:eastAsia="pl-PL"/>
              </w:rPr>
              <w:t xml:space="preserve">, </w:t>
            </w:r>
            <w:hyperlink r:id="rId17" w:anchor="F" w:history="1">
              <w:r w:rsidRPr="00295017">
                <w:rPr>
                  <w:rStyle w:val="Hipercze"/>
                  <w:rFonts w:eastAsia="Times New Roman" w:cs="Times New Roman"/>
                  <w:lang w:eastAsia="pl-PL"/>
                </w:rPr>
                <w:t>http://jason-happy-polak.blogspot.com/2013/12/rezolucja-rady-bezpieczenstwa-onz-numer.html#F</w:t>
              </w:r>
            </w:hyperlink>
            <w:r w:rsidRPr="00516FCB">
              <w:rPr>
                <w:rFonts w:eastAsia="Times New Roman" w:cs="Times New Roman"/>
                <w:lang w:eastAsia="pl-PL"/>
              </w:rPr>
              <w:t>) </w:t>
            </w:r>
            <w:r w:rsidRPr="00516FCB">
              <w:rPr>
                <w:rFonts w:eastAsia="Times New Roman" w:cs="Times New Roman"/>
                <w:lang w:eastAsia="pl-PL"/>
              </w:rPr>
              <w:br/>
              <w:t xml:space="preserve">5. </w:t>
            </w:r>
            <w:r w:rsidRPr="00095BE5">
              <w:rPr>
                <w:rFonts w:eastAsia="Times New Roman" w:cs="Times New Roman"/>
                <w:lang w:eastAsia="pl-PL"/>
              </w:rPr>
              <w:t xml:space="preserve">Izrael/Palestyna 1967-1985 (Wojna </w:t>
            </w:r>
            <w:proofErr w:type="spellStart"/>
            <w:r w:rsidRPr="00095BE5">
              <w:rPr>
                <w:rFonts w:eastAsia="Times New Roman" w:cs="Times New Roman"/>
                <w:lang w:eastAsia="pl-PL"/>
              </w:rPr>
              <w:t>Jom</w:t>
            </w:r>
            <w:proofErr w:type="spellEnd"/>
            <w:r w:rsidRPr="00095BE5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095BE5">
              <w:rPr>
                <w:rFonts w:eastAsia="Times New Roman" w:cs="Times New Roman"/>
                <w:lang w:eastAsia="pl-PL"/>
              </w:rPr>
              <w:t>Kippur</w:t>
            </w:r>
            <w:proofErr w:type="spellEnd"/>
            <w:r w:rsidRPr="00095BE5">
              <w:rPr>
                <w:rFonts w:eastAsia="Times New Roman" w:cs="Times New Roman"/>
                <w:lang w:eastAsia="pl-PL"/>
              </w:rPr>
              <w:t xml:space="preserve"> w oczach CIA: </w:t>
            </w:r>
            <w:hyperlink r:id="rId18" w:history="1">
              <w:r w:rsidRPr="00095BE5">
                <w:rPr>
                  <w:rStyle w:val="Hipercze"/>
                </w:rPr>
                <w:t>https://www.cia.gov/library/readingroom/docs/LOC-HAK-480-3-1-4.pdf</w:t>
              </w:r>
            </w:hyperlink>
            <w:r w:rsidRPr="00095BE5">
              <w:t xml:space="preserve">  pp. 32-38)</w:t>
            </w:r>
            <w:r w:rsidRPr="00095BE5">
              <w:rPr>
                <w:rFonts w:eastAsia="Times New Roman" w:cs="Times New Roman"/>
                <w:lang w:eastAsia="pl-PL"/>
              </w:rPr>
              <w:br/>
              <w:t xml:space="preserve">6. </w:t>
            </w:r>
            <w:r w:rsidRPr="00656319">
              <w:rPr>
                <w:rFonts w:eastAsia="Times New Roman" w:cs="Times New Roman"/>
                <w:lang w:eastAsia="pl-PL"/>
              </w:rPr>
              <w:t xml:space="preserve">Syria i Liban (Hezbollah we własnych oczach: </w:t>
            </w:r>
            <w:hyperlink r:id="rId19" w:history="1">
              <w:r w:rsidRPr="00656319">
                <w:rPr>
                  <w:rStyle w:val="Hipercze"/>
                </w:rPr>
                <w:t>https://www.english.alahednews.com.lb/</w:t>
              </w:r>
            </w:hyperlink>
            <w:r w:rsidRPr="00656319">
              <w:t xml:space="preserve"> oraz w oczach przeciwnikó</w:t>
            </w:r>
            <w:r>
              <w:t>w</w:t>
            </w:r>
            <w:r w:rsidRPr="00656319">
              <w:t xml:space="preserve">: </w:t>
            </w:r>
            <w:hyperlink r:id="rId20" w:history="1">
              <w:r w:rsidRPr="00656319">
                <w:rPr>
                  <w:rStyle w:val="Hipercze"/>
                </w:rPr>
                <w:t>https://hezbollah.org/</w:t>
              </w:r>
            </w:hyperlink>
            <w:r w:rsidRPr="00656319">
              <w:t>)</w:t>
            </w:r>
            <w:r>
              <w:t>.</w:t>
            </w:r>
            <w:r w:rsidRPr="00656319">
              <w:rPr>
                <w:rFonts w:eastAsia="Times New Roman" w:cs="Times New Roman"/>
                <w:lang w:eastAsia="pl-PL"/>
              </w:rPr>
              <w:br/>
              <w:t xml:space="preserve">7. </w:t>
            </w:r>
            <w:r w:rsidRPr="00516FCB">
              <w:rPr>
                <w:rFonts w:eastAsia="Times New Roman" w:cs="Times New Roman"/>
                <w:lang w:eastAsia="pl-PL"/>
              </w:rPr>
              <w:t xml:space="preserve">Irak i Iran (ustrój Iranu, zob.: </w:t>
            </w:r>
            <w:hyperlink r:id="rId21" w:history="1">
              <w:r w:rsidRPr="00295017">
                <w:rPr>
                  <w:rStyle w:val="Hipercze"/>
                  <w:rFonts w:eastAsia="Times New Roman" w:cs="Times New Roman"/>
                  <w:lang w:eastAsia="pl-PL"/>
                </w:rPr>
                <w:t>http://www.psz.pl/117-polityka/mariusz-piskur-system-polityczny-islamskiej-republiki-iranu</w:t>
              </w:r>
            </w:hyperlink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516FCB">
              <w:rPr>
                <w:rFonts w:eastAsia="Times New Roman" w:cs="Times New Roman"/>
                <w:lang w:eastAsia="pl-PL"/>
              </w:rPr>
              <w:t xml:space="preserve">oraz dla chętnych konstytucja Islamskiej Republiki Iranu po angielsku: </w:t>
            </w:r>
            <w:hyperlink r:id="rId22" w:history="1">
              <w:r w:rsidRPr="00295017">
                <w:rPr>
                  <w:rStyle w:val="Hipercze"/>
                  <w:rFonts w:eastAsia="Times New Roman" w:cs="Times New Roman"/>
                  <w:lang w:eastAsia="pl-PL"/>
                </w:rPr>
                <w:t>http://www.servat.unibe.ch/icl/ir00000_.html</w:t>
              </w:r>
            </w:hyperlink>
            <w:r>
              <w:rPr>
                <w:rFonts w:eastAsia="Times New Roman" w:cs="Times New Roman"/>
                <w:lang w:eastAsia="pl-PL"/>
              </w:rPr>
              <w:t>).</w:t>
            </w:r>
            <w:r w:rsidRPr="00516FCB">
              <w:rPr>
                <w:rFonts w:eastAsia="Times New Roman" w:cs="Times New Roman"/>
                <w:lang w:eastAsia="pl-PL"/>
              </w:rPr>
              <w:t> </w:t>
            </w:r>
            <w:r w:rsidRPr="00516FCB">
              <w:rPr>
                <w:rFonts w:eastAsia="Times New Roman" w:cs="Times New Roman"/>
                <w:lang w:eastAsia="pl-PL"/>
              </w:rPr>
              <w:br/>
              <w:t xml:space="preserve">8. Turcja (doktryna strategicznej głębi, zob.: </w:t>
            </w:r>
            <w:hyperlink r:id="rId23" w:history="1">
              <w:r w:rsidRPr="00295017">
                <w:rPr>
                  <w:rStyle w:val="Hipercze"/>
                  <w:rFonts w:eastAsia="Times New Roman" w:cs="Times New Roman"/>
                  <w:lang w:eastAsia="pl-PL"/>
                </w:rPr>
                <w:t>http://www.stosunki.pl/content/koncepcja-strategicznej-g%C5%82%C4%99bi-stratejik-derinlik-jako-nowa-doktryna-polityki-zagranicznej-tu</w:t>
              </w:r>
            </w:hyperlink>
            <w:r>
              <w:rPr>
                <w:rFonts w:eastAsia="Times New Roman" w:cs="Times New Roman"/>
                <w:lang w:eastAsia="pl-PL"/>
              </w:rPr>
              <w:t xml:space="preserve">, </w:t>
            </w:r>
            <w:hyperlink r:id="rId24" w:history="1">
              <w:r w:rsidRPr="00656319">
                <w:rPr>
                  <w:rStyle w:val="Hipercze"/>
                </w:rPr>
                <w:t>https://erpic.org/wp-content/uploads/2017/02/erato-kozakou-marcoullis-ahmet-davutoglu-a-new-era-in-turkeys-foreign -policy.pdf</w:t>
              </w:r>
            </w:hyperlink>
            <w:r w:rsidRPr="00656319">
              <w:t xml:space="preserve"> </w:t>
            </w:r>
            <w:proofErr w:type="spellStart"/>
            <w:r w:rsidRPr="00656319">
              <w:t>mainly</w:t>
            </w:r>
            <w:proofErr w:type="spellEnd"/>
            <w:r w:rsidRPr="00656319">
              <w:t xml:space="preserve"> pp. 3-6</w:t>
            </w:r>
            <w:r w:rsidRPr="00516FCB">
              <w:rPr>
                <w:rFonts w:eastAsia="Times New Roman" w:cs="Times New Roman"/>
                <w:lang w:eastAsia="pl-PL"/>
              </w:rPr>
              <w:t>)</w:t>
            </w:r>
            <w:r>
              <w:rPr>
                <w:rFonts w:eastAsia="Times New Roman" w:cs="Times New Roman"/>
                <w:lang w:eastAsia="pl-PL"/>
              </w:rPr>
              <w:t>.</w:t>
            </w:r>
            <w:r w:rsidRPr="00516FCB">
              <w:rPr>
                <w:rFonts w:eastAsia="Times New Roman" w:cs="Times New Roman"/>
                <w:lang w:eastAsia="pl-PL"/>
              </w:rPr>
              <w:t> </w:t>
            </w:r>
            <w:r w:rsidRPr="00516FCB">
              <w:rPr>
                <w:rFonts w:eastAsia="Times New Roman" w:cs="Times New Roman"/>
                <w:lang w:eastAsia="pl-PL"/>
              </w:rPr>
              <w:br/>
              <w:t>9. Kraje Półwyspu Arabskiego </w:t>
            </w:r>
            <w:r>
              <w:rPr>
                <w:rFonts w:eastAsia="Times New Roman" w:cs="Times New Roman"/>
                <w:lang w:eastAsia="pl-PL"/>
              </w:rPr>
              <w:t>(</w:t>
            </w:r>
            <w:hyperlink r:id="rId25" w:history="1">
              <w:r w:rsidRPr="00656319">
                <w:rPr>
                  <w:rStyle w:val="Hipercze"/>
                </w:rPr>
                <w:t>https://vision2030.gov.sa/en</w:t>
              </w:r>
            </w:hyperlink>
            <w:r>
              <w:rPr>
                <w:rFonts w:eastAsia="Times New Roman" w:cs="Times New Roman"/>
                <w:lang w:eastAsia="pl-PL"/>
              </w:rPr>
              <w:t>).</w:t>
            </w:r>
            <w:r>
              <w:rPr>
                <w:rFonts w:eastAsia="Times New Roman" w:cs="Times New Roman"/>
                <w:lang w:eastAsia="pl-PL"/>
              </w:rPr>
              <w:br/>
              <w:t>10</w:t>
            </w:r>
            <w:r w:rsidRPr="00516FCB">
              <w:rPr>
                <w:rFonts w:eastAsia="Times New Roman" w:cs="Times New Roman"/>
                <w:lang w:eastAsia="pl-PL"/>
              </w:rPr>
              <w:t xml:space="preserve">. </w:t>
            </w:r>
            <w:r w:rsidRPr="00312F8B">
              <w:rPr>
                <w:rFonts w:eastAsia="Times New Roman" w:cs="Times New Roman"/>
                <w:lang w:eastAsia="pl-PL"/>
              </w:rPr>
              <w:t xml:space="preserve">Izrael/Palestyna po 1985 (porozumienie z Oslo, 13 IX 1993, zob.: </w:t>
            </w:r>
            <w:hyperlink r:id="rId26" w:history="1">
              <w:r w:rsidRPr="00312F8B">
                <w:rPr>
                  <w:rStyle w:val="Hipercze"/>
                  <w:rFonts w:eastAsia="Times New Roman" w:cs="Times New Roman"/>
                  <w:lang w:eastAsia="pl-PL"/>
                </w:rPr>
                <w:t>https://web.archive.org/web/20021115183950/http://knesset.gov.il/process/docs/oslo_eng.htm</w:t>
              </w:r>
            </w:hyperlink>
            <w:r w:rsidRPr="00312F8B">
              <w:rPr>
                <w:rFonts w:eastAsia="Times New Roman" w:cs="Times New Roman"/>
                <w:lang w:eastAsia="pl-PL"/>
              </w:rPr>
              <w:t xml:space="preserve"> , </w:t>
            </w:r>
            <w:r w:rsidRPr="00312F8B">
              <w:t xml:space="preserve">Deal of the Century, January 28th 2020, </w:t>
            </w:r>
            <w:proofErr w:type="spellStart"/>
            <w:r w:rsidRPr="00312F8B">
              <w:t>see</w:t>
            </w:r>
            <w:proofErr w:type="spellEnd"/>
            <w:r w:rsidRPr="00312F8B">
              <w:t xml:space="preserve">: </w:t>
            </w:r>
            <w:hyperlink r:id="rId27" w:tgtFrame="_blank" w:tooltip="https://trumpwhitehouse.archives.gov/wp-content/uploads/2020/01/peace-to-prosperity-0120.pdf" w:history="1">
              <w:r w:rsidR="00F567AB" w:rsidRPr="00A459FD">
                <w:rPr>
                  <w:rStyle w:val="Hipercze"/>
                </w:rPr>
                <w:t>https://trumpwhitehouse.archives.gov/wp-content/uploads/2020/01/Peace-to-Prosperity-0120.pdf</w:t>
              </w:r>
            </w:hyperlink>
            <w:r>
              <w:rPr>
                <w:rFonts w:eastAsia="Times New Roman" w:cs="Times New Roman"/>
                <w:lang w:eastAsia="pl-PL"/>
              </w:rPr>
              <w:t xml:space="preserve">, </w:t>
            </w:r>
            <w:hyperlink r:id="rId28" w:history="1">
              <w:r w:rsidRPr="00295017">
                <w:rPr>
                  <w:rStyle w:val="Hipercze"/>
                  <w:rFonts w:eastAsia="Times New Roman" w:cs="Times New Roman"/>
                  <w:lang w:eastAsia="pl-PL"/>
                </w:rPr>
                <w:t>https://pl.wikipedia.org/wiki/Plan_Trumpa</w:t>
              </w:r>
            </w:hyperlink>
            <w:r>
              <w:rPr>
                <w:rFonts w:eastAsia="Times New Roman" w:cs="Times New Roman"/>
                <w:lang w:eastAsia="pl-PL"/>
              </w:rPr>
              <w:t>). </w:t>
            </w:r>
            <w:r>
              <w:rPr>
                <w:rFonts w:eastAsia="Times New Roman" w:cs="Times New Roman"/>
                <w:lang w:eastAsia="pl-PL"/>
              </w:rPr>
              <w:br/>
              <w:t>11</w:t>
            </w:r>
            <w:r w:rsidRPr="00312F8B">
              <w:rPr>
                <w:rFonts w:eastAsia="Times New Roman" w:cs="Times New Roman"/>
                <w:lang w:eastAsia="pl-PL"/>
              </w:rPr>
              <w:t xml:space="preserve">. </w:t>
            </w:r>
            <w:r w:rsidRPr="00516FCB">
              <w:rPr>
                <w:rFonts w:eastAsia="Times New Roman" w:cs="Times New Roman"/>
                <w:lang w:eastAsia="pl-PL"/>
              </w:rPr>
              <w:t>Irak po 2003 </w:t>
            </w:r>
            <w:r w:rsidRPr="00516FCB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12</w:t>
            </w:r>
            <w:r w:rsidRPr="00516FCB">
              <w:rPr>
                <w:rFonts w:eastAsia="Times New Roman" w:cs="Times New Roman"/>
                <w:lang w:eastAsia="pl-PL"/>
              </w:rPr>
              <w:t>. Arabska Wiosna </w:t>
            </w:r>
            <w:r>
              <w:rPr>
                <w:rFonts w:eastAsia="Times New Roman" w:cs="Times New Roman"/>
                <w:lang w:eastAsia="pl-PL"/>
              </w:rPr>
              <w:t>1</w:t>
            </w:r>
            <w:r w:rsidRPr="00516FCB">
              <w:rPr>
                <w:rFonts w:eastAsia="Times New Roman" w:cs="Times New Roman"/>
                <w:lang w:eastAsia="pl-PL"/>
              </w:rPr>
              <w:br/>
              <w:t>13. Arabska Wiosna </w:t>
            </w:r>
            <w:r>
              <w:rPr>
                <w:rFonts w:eastAsia="Times New Roman" w:cs="Times New Roman"/>
                <w:lang w:eastAsia="pl-PL"/>
              </w:rPr>
              <w:t>2</w:t>
            </w:r>
            <w:r w:rsidRPr="00516FCB">
              <w:rPr>
                <w:rFonts w:eastAsia="Times New Roman" w:cs="Times New Roman"/>
                <w:lang w:eastAsia="pl-PL"/>
              </w:rPr>
              <w:br/>
              <w:t xml:space="preserve">14. Syria po 2011 (Rezolucja Rady </w:t>
            </w:r>
            <w:r>
              <w:rPr>
                <w:rFonts w:eastAsia="Times New Roman" w:cs="Times New Roman"/>
                <w:lang w:eastAsia="pl-PL"/>
              </w:rPr>
              <w:t xml:space="preserve">Polityki międzynarodowej </w:t>
            </w:r>
            <w:r w:rsidRPr="00516FCB">
              <w:rPr>
                <w:rFonts w:eastAsia="Times New Roman" w:cs="Times New Roman"/>
                <w:lang w:eastAsia="pl-PL"/>
              </w:rPr>
              <w:t xml:space="preserve"> ONZ z 15 XII 2015, zob. </w:t>
            </w:r>
            <w:hyperlink r:id="rId29" w:history="1">
              <w:r w:rsidRPr="00295017">
                <w:rPr>
                  <w:rStyle w:val="Hipercze"/>
                  <w:rFonts w:eastAsia="Times New Roman" w:cs="Times New Roman"/>
                  <w:lang w:eastAsia="pl-PL"/>
                </w:rPr>
                <w:t>http://www.securitycouncilreport.org/atf/cf/%7B65BFCF9B-6D27-4E9C-8CD3-CF6E4FF96FF9%7D/s_res_2254.pdf</w:t>
              </w:r>
            </w:hyperlink>
            <w:r w:rsidRPr="00516FCB">
              <w:rPr>
                <w:rFonts w:eastAsia="Times New Roman" w:cs="Times New Roman"/>
                <w:lang w:eastAsia="pl-PL"/>
              </w:rPr>
              <w:t>)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49"/>
        <w:gridCol w:w="2781"/>
        <w:gridCol w:w="2540"/>
      </w:tblGrid>
      <w:tr w:rsidR="009A3E73" w:rsidTr="00A45238">
        <w:tc>
          <w:tcPr>
            <w:tcW w:w="1092" w:type="dxa"/>
            <w:vAlign w:val="center"/>
          </w:tcPr>
          <w:p w:rsidR="009A3E73" w:rsidRDefault="009A3E73" w:rsidP="00784FE0">
            <w:pPr>
              <w:jc w:val="center"/>
            </w:pPr>
            <w:r>
              <w:t>Symbol efektu</w:t>
            </w:r>
          </w:p>
        </w:tc>
        <w:tc>
          <w:tcPr>
            <w:tcW w:w="2649" w:type="dxa"/>
            <w:vAlign w:val="center"/>
          </w:tcPr>
          <w:p w:rsidR="009A3E73" w:rsidRDefault="009A3E73" w:rsidP="00784FE0">
            <w:pPr>
              <w:jc w:val="center"/>
            </w:pPr>
            <w:r>
              <w:t>Metody dydaktyczne</w:t>
            </w:r>
          </w:p>
          <w:p w:rsidR="009A3E73" w:rsidRDefault="009A3E73" w:rsidP="00784FE0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1" w:type="dxa"/>
            <w:vAlign w:val="center"/>
          </w:tcPr>
          <w:p w:rsidR="009A3E73" w:rsidRDefault="009A3E73" w:rsidP="00784FE0">
            <w:pPr>
              <w:jc w:val="center"/>
            </w:pPr>
            <w:r>
              <w:t>Metody weryfikacji</w:t>
            </w:r>
          </w:p>
          <w:p w:rsidR="009A3E73" w:rsidRDefault="009A3E73" w:rsidP="00784FE0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vAlign w:val="center"/>
          </w:tcPr>
          <w:p w:rsidR="009A3E73" w:rsidRDefault="009A3E73" w:rsidP="00784FE0">
            <w:pPr>
              <w:jc w:val="center"/>
            </w:pPr>
            <w:r>
              <w:t>Sposoby dokumentacji</w:t>
            </w:r>
          </w:p>
          <w:p w:rsidR="009A3E73" w:rsidRDefault="009A3E73" w:rsidP="00784FE0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9A3E73" w:rsidTr="00784FE0">
        <w:tc>
          <w:tcPr>
            <w:tcW w:w="9062" w:type="dxa"/>
            <w:gridSpan w:val="4"/>
            <w:vAlign w:val="center"/>
          </w:tcPr>
          <w:p w:rsidR="009A3E73" w:rsidRDefault="009A3E73" w:rsidP="00784FE0">
            <w:pPr>
              <w:jc w:val="center"/>
            </w:pPr>
            <w:r>
              <w:t>WIEDZA</w:t>
            </w:r>
          </w:p>
        </w:tc>
      </w:tr>
      <w:tr w:rsidR="009A3E73" w:rsidTr="00A45238">
        <w:tc>
          <w:tcPr>
            <w:tcW w:w="1092" w:type="dxa"/>
          </w:tcPr>
          <w:p w:rsidR="009A3E73" w:rsidRDefault="009A3E73" w:rsidP="00784FE0">
            <w:r>
              <w:t>W_01</w:t>
            </w:r>
          </w:p>
          <w:p w:rsidR="00912F18" w:rsidRDefault="00912F18" w:rsidP="00784FE0">
            <w:r>
              <w:t>W_02</w:t>
            </w:r>
          </w:p>
        </w:tc>
        <w:tc>
          <w:tcPr>
            <w:tcW w:w="2649" w:type="dxa"/>
          </w:tcPr>
          <w:p w:rsidR="009A3E73" w:rsidRDefault="009A3E73" w:rsidP="00784FE0">
            <w:r>
              <w:t>Wykład konwe</w:t>
            </w:r>
            <w:r w:rsidR="00912F18">
              <w:t>rsatoryjny</w:t>
            </w:r>
          </w:p>
          <w:p w:rsidR="00A45238" w:rsidRDefault="009A3E73" w:rsidP="00A45238">
            <w:r>
              <w:t>Prezentacja multimedialna</w:t>
            </w:r>
            <w:r w:rsidR="00A45238">
              <w:t xml:space="preserve">, </w:t>
            </w:r>
          </w:p>
          <w:p w:rsidR="00A45238" w:rsidRDefault="00A45238" w:rsidP="00A45238">
            <w:r>
              <w:t>Praca w grupach</w:t>
            </w:r>
            <w:r w:rsidR="0020778E">
              <w:t xml:space="preserve"> (w wersji stacjonarnej)</w:t>
            </w:r>
            <w:r>
              <w:t xml:space="preserve">, </w:t>
            </w:r>
          </w:p>
          <w:p w:rsidR="009A3E73" w:rsidRDefault="00A45238" w:rsidP="00A45238">
            <w:r>
              <w:t>Pytania problemowe.</w:t>
            </w:r>
          </w:p>
        </w:tc>
        <w:tc>
          <w:tcPr>
            <w:tcW w:w="2781" w:type="dxa"/>
          </w:tcPr>
          <w:p w:rsidR="009A3E73" w:rsidRDefault="00A45238" w:rsidP="0020778E">
            <w:r>
              <w:t xml:space="preserve">Aktywność podczas zajęć dydaktycznych, </w:t>
            </w:r>
            <w:r w:rsidR="009A3E73">
              <w:t xml:space="preserve">egzamin pisemny </w:t>
            </w:r>
            <w:r w:rsidR="0020778E">
              <w:t>(w wersji stacjonarnej) lub ustny (w wersji zdalnej)</w:t>
            </w:r>
          </w:p>
        </w:tc>
        <w:tc>
          <w:tcPr>
            <w:tcW w:w="2540" w:type="dxa"/>
          </w:tcPr>
          <w:p w:rsidR="009A3E73" w:rsidRDefault="009A3E73" w:rsidP="00784FE0">
            <w:r>
              <w:t>Raport z egzaminu</w:t>
            </w:r>
          </w:p>
          <w:p w:rsidR="00A45238" w:rsidRDefault="00A45238" w:rsidP="00784FE0">
            <w:r>
              <w:t>Raport z kolokwium</w:t>
            </w:r>
          </w:p>
          <w:p w:rsidR="00A45238" w:rsidRDefault="00A45238" w:rsidP="00784FE0">
            <w:r>
              <w:t>Karta oceny</w:t>
            </w:r>
          </w:p>
        </w:tc>
      </w:tr>
      <w:tr w:rsidR="009A3E73" w:rsidTr="00784FE0">
        <w:tc>
          <w:tcPr>
            <w:tcW w:w="9062" w:type="dxa"/>
            <w:gridSpan w:val="4"/>
            <w:vAlign w:val="center"/>
          </w:tcPr>
          <w:p w:rsidR="009A3E73" w:rsidRDefault="009A3E73" w:rsidP="00784FE0">
            <w:pPr>
              <w:jc w:val="center"/>
            </w:pPr>
            <w:r>
              <w:t>UMIEJĘTNOŚCI</w:t>
            </w:r>
          </w:p>
        </w:tc>
      </w:tr>
      <w:tr w:rsidR="009A3E73" w:rsidTr="00A45238">
        <w:tc>
          <w:tcPr>
            <w:tcW w:w="1092" w:type="dxa"/>
          </w:tcPr>
          <w:p w:rsidR="009A3E73" w:rsidRDefault="00516FCB" w:rsidP="00784FE0">
            <w:r>
              <w:t>U_01</w:t>
            </w:r>
          </w:p>
          <w:p w:rsidR="00912F18" w:rsidRDefault="00912F18" w:rsidP="00784FE0">
            <w:r>
              <w:t>U_02</w:t>
            </w:r>
          </w:p>
        </w:tc>
        <w:tc>
          <w:tcPr>
            <w:tcW w:w="2649" w:type="dxa"/>
          </w:tcPr>
          <w:p w:rsidR="00A45238" w:rsidRDefault="00A45238" w:rsidP="00A45238">
            <w:r>
              <w:t xml:space="preserve">Wykład </w:t>
            </w:r>
            <w:r w:rsidR="00912F18">
              <w:t>konwersatoryjny</w:t>
            </w:r>
          </w:p>
          <w:p w:rsidR="00A45238" w:rsidRDefault="00A45238" w:rsidP="00A45238">
            <w:r>
              <w:t xml:space="preserve">Prezentacja multimedialna, </w:t>
            </w:r>
          </w:p>
          <w:p w:rsidR="00A45238" w:rsidRDefault="00A45238" w:rsidP="00A45238">
            <w:r>
              <w:lastRenderedPageBreak/>
              <w:t>Praca w grupach</w:t>
            </w:r>
            <w:r w:rsidR="0020778E">
              <w:t xml:space="preserve"> (w wersji stacjonarnej)</w:t>
            </w:r>
            <w:r>
              <w:t xml:space="preserve">, </w:t>
            </w:r>
          </w:p>
          <w:p w:rsidR="009A3E73" w:rsidRDefault="00A45238" w:rsidP="00A45238">
            <w:r>
              <w:t>Pytania problemowe.</w:t>
            </w:r>
          </w:p>
        </w:tc>
        <w:tc>
          <w:tcPr>
            <w:tcW w:w="2781" w:type="dxa"/>
          </w:tcPr>
          <w:p w:rsidR="009A3E73" w:rsidRDefault="00A45238" w:rsidP="00784FE0">
            <w:r>
              <w:lastRenderedPageBreak/>
              <w:t xml:space="preserve">Aktywność podczas zajęć dydaktycznych, </w:t>
            </w:r>
            <w:r w:rsidR="0020778E">
              <w:t xml:space="preserve">egzamin pisemny (w wersji </w:t>
            </w:r>
            <w:r w:rsidR="0020778E">
              <w:lastRenderedPageBreak/>
              <w:t>stacjonarnej) lub ustny (w wersji zdalnej)</w:t>
            </w:r>
          </w:p>
        </w:tc>
        <w:tc>
          <w:tcPr>
            <w:tcW w:w="2540" w:type="dxa"/>
          </w:tcPr>
          <w:p w:rsidR="00A45238" w:rsidRDefault="00A45238" w:rsidP="00A45238">
            <w:r>
              <w:lastRenderedPageBreak/>
              <w:t>Raport z egzaminu</w:t>
            </w:r>
          </w:p>
          <w:p w:rsidR="009A3E73" w:rsidRDefault="00A45238" w:rsidP="00A45238">
            <w:r>
              <w:t>Raport z kolokwium</w:t>
            </w:r>
          </w:p>
          <w:p w:rsidR="00A45238" w:rsidRDefault="00A45238" w:rsidP="00A45238">
            <w:r>
              <w:t>Karta oceny</w:t>
            </w:r>
          </w:p>
        </w:tc>
      </w:tr>
      <w:tr w:rsidR="009A3E73" w:rsidTr="00784FE0">
        <w:tc>
          <w:tcPr>
            <w:tcW w:w="9062" w:type="dxa"/>
            <w:gridSpan w:val="4"/>
            <w:vAlign w:val="center"/>
          </w:tcPr>
          <w:p w:rsidR="009A3E73" w:rsidRDefault="009A3E73" w:rsidP="00784FE0">
            <w:pPr>
              <w:jc w:val="center"/>
            </w:pPr>
            <w:r>
              <w:lastRenderedPageBreak/>
              <w:t>KOMPETENCJE SPOŁECZNE</w:t>
            </w:r>
          </w:p>
        </w:tc>
      </w:tr>
      <w:tr w:rsidR="009A3E73" w:rsidTr="00A45238">
        <w:tc>
          <w:tcPr>
            <w:tcW w:w="1092" w:type="dxa"/>
          </w:tcPr>
          <w:p w:rsidR="009A3E73" w:rsidRDefault="00516FCB" w:rsidP="00784FE0">
            <w:r>
              <w:t>K_01</w:t>
            </w:r>
          </w:p>
          <w:p w:rsidR="00912F18" w:rsidRDefault="00912F18" w:rsidP="00784FE0">
            <w:r>
              <w:t>K_02</w:t>
            </w:r>
          </w:p>
        </w:tc>
        <w:tc>
          <w:tcPr>
            <w:tcW w:w="2649" w:type="dxa"/>
          </w:tcPr>
          <w:p w:rsidR="00A45238" w:rsidRDefault="00A45238" w:rsidP="00A45238">
            <w:r>
              <w:t xml:space="preserve">Wykład </w:t>
            </w:r>
            <w:r w:rsidR="00912F18">
              <w:t>konwersatoryjny</w:t>
            </w:r>
          </w:p>
          <w:p w:rsidR="00A45238" w:rsidRDefault="00A45238" w:rsidP="00A45238">
            <w:r>
              <w:t xml:space="preserve">Prezentacja multimedialna, </w:t>
            </w:r>
          </w:p>
          <w:p w:rsidR="00A45238" w:rsidRDefault="00A45238" w:rsidP="00A45238">
            <w:r>
              <w:t>Praca w grupach</w:t>
            </w:r>
            <w:r w:rsidR="0020778E">
              <w:t xml:space="preserve"> (w wersji stacjonarnej)</w:t>
            </w:r>
            <w:r>
              <w:t xml:space="preserve">, </w:t>
            </w:r>
          </w:p>
          <w:p w:rsidR="009A3E73" w:rsidRDefault="00A45238" w:rsidP="00A45238">
            <w:r>
              <w:t>Pytania problemowe.</w:t>
            </w:r>
          </w:p>
        </w:tc>
        <w:tc>
          <w:tcPr>
            <w:tcW w:w="2781" w:type="dxa"/>
          </w:tcPr>
          <w:p w:rsidR="009A3E73" w:rsidRDefault="00A45238" w:rsidP="00784FE0">
            <w:r>
              <w:t xml:space="preserve">Postawa studenta podczas zajęć dydaktycznych, </w:t>
            </w:r>
            <w:r w:rsidR="0020778E">
              <w:t>egzamin pisemny (w wersji stacjonarnej) lub ustny (w wersji zdalnej)</w:t>
            </w:r>
          </w:p>
        </w:tc>
        <w:tc>
          <w:tcPr>
            <w:tcW w:w="2540" w:type="dxa"/>
          </w:tcPr>
          <w:p w:rsidR="009A3E73" w:rsidRDefault="00A45238" w:rsidP="00784FE0">
            <w:r>
              <w:t>Karta oceny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7"/>
        <w:gridCol w:w="1811"/>
        <w:gridCol w:w="1816"/>
        <w:gridCol w:w="1814"/>
        <w:gridCol w:w="1814"/>
      </w:tblGrid>
      <w:tr w:rsidR="00F12B61" w:rsidTr="00F12B61">
        <w:tc>
          <w:tcPr>
            <w:tcW w:w="1809" w:type="dxa"/>
          </w:tcPr>
          <w:p w:rsidR="001461B7" w:rsidRDefault="001461B7" w:rsidP="00BD58F9">
            <w:pPr>
              <w:rPr>
                <w:b/>
              </w:rPr>
            </w:pPr>
            <w:r>
              <w:rPr>
                <w:b/>
              </w:rPr>
              <w:t>Efekty kształcenia</w:t>
            </w:r>
          </w:p>
        </w:tc>
        <w:tc>
          <w:tcPr>
            <w:tcW w:w="1811" w:type="dxa"/>
          </w:tcPr>
          <w:p w:rsidR="001461B7" w:rsidRDefault="001461B7" w:rsidP="00BD58F9">
            <w:pPr>
              <w:rPr>
                <w:b/>
              </w:rPr>
            </w:pPr>
            <w:r>
              <w:rPr>
                <w:b/>
              </w:rPr>
              <w:t>ocena niedostateczna:</w:t>
            </w:r>
          </w:p>
          <w:p w:rsidR="001461B7" w:rsidRDefault="001461B7" w:rsidP="00BD58F9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1816" w:type="dxa"/>
          </w:tcPr>
          <w:p w:rsidR="001461B7" w:rsidRDefault="001461B7" w:rsidP="00BD58F9">
            <w:pPr>
              <w:rPr>
                <w:b/>
              </w:rPr>
            </w:pPr>
            <w:r>
              <w:rPr>
                <w:b/>
              </w:rPr>
              <w:t>ocena dostateczna:</w:t>
            </w:r>
          </w:p>
          <w:p w:rsidR="001461B7" w:rsidRDefault="001461B7" w:rsidP="00BD58F9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1813" w:type="dxa"/>
          </w:tcPr>
          <w:p w:rsidR="001461B7" w:rsidRDefault="001461B7" w:rsidP="00BD58F9">
            <w:pPr>
              <w:rPr>
                <w:b/>
              </w:rPr>
            </w:pPr>
            <w:r>
              <w:rPr>
                <w:b/>
              </w:rPr>
              <w:t>ocena dobra:</w:t>
            </w:r>
          </w:p>
          <w:p w:rsidR="001461B7" w:rsidRDefault="001461B7" w:rsidP="00BD58F9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1813" w:type="dxa"/>
          </w:tcPr>
          <w:p w:rsidR="001461B7" w:rsidRDefault="001461B7" w:rsidP="00BD58F9">
            <w:pPr>
              <w:rPr>
                <w:b/>
              </w:rPr>
            </w:pPr>
            <w:r>
              <w:rPr>
                <w:b/>
              </w:rPr>
              <w:t>ocena bardzo dobra:</w:t>
            </w:r>
          </w:p>
          <w:p w:rsidR="001461B7" w:rsidRDefault="001461B7" w:rsidP="00BD58F9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</w:tr>
      <w:tr w:rsidR="00F12B61" w:rsidTr="00F12B61">
        <w:tc>
          <w:tcPr>
            <w:tcW w:w="1809" w:type="dxa"/>
          </w:tcPr>
          <w:p w:rsidR="001461B7" w:rsidRDefault="008E2CAA" w:rsidP="00BD58F9">
            <w:pPr>
              <w:rPr>
                <w:b/>
              </w:rPr>
            </w:pPr>
            <w:r>
              <w:rPr>
                <w:b/>
              </w:rPr>
              <w:t>W_01</w:t>
            </w:r>
          </w:p>
          <w:p w:rsidR="008E2CAA" w:rsidRDefault="008E2CAA" w:rsidP="00BD58F9">
            <w:pPr>
              <w:rPr>
                <w:b/>
              </w:rPr>
            </w:pPr>
            <w:r>
              <w:rPr>
                <w:b/>
              </w:rPr>
              <w:t>W_02</w:t>
            </w:r>
          </w:p>
        </w:tc>
        <w:tc>
          <w:tcPr>
            <w:tcW w:w="1811" w:type="dxa"/>
          </w:tcPr>
          <w:p w:rsidR="001461B7" w:rsidRDefault="001461B7" w:rsidP="001461B7">
            <w:pPr>
              <w:rPr>
                <w:b/>
              </w:rPr>
            </w:pPr>
            <w:r>
              <w:t>nie posiada wiedzy na temat problemów bezpieczeństwa na Bliskim Wschodzie.</w:t>
            </w:r>
          </w:p>
        </w:tc>
        <w:tc>
          <w:tcPr>
            <w:tcW w:w="1816" w:type="dxa"/>
          </w:tcPr>
          <w:p w:rsidR="001461B7" w:rsidRDefault="001461B7" w:rsidP="001461B7">
            <w:pPr>
              <w:rPr>
                <w:b/>
              </w:rPr>
            </w:pPr>
            <w:r>
              <w:t>posiada ogólną wiedzę na temat problemów bezpieczeństwa na Bliskim Wschodzie.</w:t>
            </w:r>
          </w:p>
        </w:tc>
        <w:tc>
          <w:tcPr>
            <w:tcW w:w="1813" w:type="dxa"/>
          </w:tcPr>
          <w:p w:rsidR="001461B7" w:rsidRDefault="001461B7" w:rsidP="001461B7">
            <w:pPr>
              <w:rPr>
                <w:b/>
              </w:rPr>
            </w:pPr>
            <w:r>
              <w:t>posiada szczegółową wiedzę na temat problemów bezpieczeństwa na Bliskim Wschodzie.</w:t>
            </w:r>
          </w:p>
        </w:tc>
        <w:tc>
          <w:tcPr>
            <w:tcW w:w="1813" w:type="dxa"/>
          </w:tcPr>
          <w:p w:rsidR="001461B7" w:rsidRDefault="001461B7" w:rsidP="001461B7">
            <w:pPr>
              <w:rPr>
                <w:b/>
              </w:rPr>
            </w:pPr>
            <w:r>
              <w:t>posiada szczegółową i wyczerpującą wiedzę na temat problemów bezpieczeństwa na Bliskim Wschodzie.</w:t>
            </w:r>
          </w:p>
        </w:tc>
      </w:tr>
      <w:tr w:rsidR="00F12B61" w:rsidTr="00F12B61">
        <w:tc>
          <w:tcPr>
            <w:tcW w:w="1809" w:type="dxa"/>
          </w:tcPr>
          <w:p w:rsidR="001461B7" w:rsidRDefault="008E2CAA" w:rsidP="00BD58F9">
            <w:pPr>
              <w:rPr>
                <w:b/>
              </w:rPr>
            </w:pPr>
            <w:r>
              <w:rPr>
                <w:b/>
              </w:rPr>
              <w:t>U_01</w:t>
            </w:r>
          </w:p>
          <w:p w:rsidR="008E2CAA" w:rsidRDefault="008E2CAA" w:rsidP="00BD58F9">
            <w:pPr>
              <w:rPr>
                <w:b/>
              </w:rPr>
            </w:pPr>
            <w:r>
              <w:rPr>
                <w:b/>
              </w:rPr>
              <w:t>U_02</w:t>
            </w:r>
          </w:p>
        </w:tc>
        <w:tc>
          <w:tcPr>
            <w:tcW w:w="1811" w:type="dxa"/>
          </w:tcPr>
          <w:p w:rsidR="001461B7" w:rsidRDefault="001461B7" w:rsidP="00912F18">
            <w:pPr>
              <w:rPr>
                <w:b/>
              </w:rPr>
            </w:pPr>
            <w:r>
              <w:t>nie po</w:t>
            </w:r>
            <w:r w:rsidR="00912F18">
              <w:t>trafi analizować i oceniać zagrożeń</w:t>
            </w:r>
            <w:r>
              <w:t xml:space="preserve"> związanych z problemami bezpieczeństwa na Bliskim Wschodzie.</w:t>
            </w:r>
          </w:p>
        </w:tc>
        <w:tc>
          <w:tcPr>
            <w:tcW w:w="1816" w:type="dxa"/>
          </w:tcPr>
          <w:p w:rsidR="001461B7" w:rsidRDefault="00912F18" w:rsidP="00912F18">
            <w:pPr>
              <w:rPr>
                <w:b/>
              </w:rPr>
            </w:pPr>
            <w:r>
              <w:t>potrafi</w:t>
            </w:r>
            <w:r w:rsidR="001461B7">
              <w:t xml:space="preserve"> w </w:t>
            </w:r>
            <w:r w:rsidR="00F12B61">
              <w:t xml:space="preserve">stopniu podstawowym </w:t>
            </w:r>
            <w:r>
              <w:t>analizować i oceniać zagrożenia związane z problemami bezpieczeństwa na Bliskim Wschodzie.</w:t>
            </w:r>
          </w:p>
        </w:tc>
        <w:tc>
          <w:tcPr>
            <w:tcW w:w="1813" w:type="dxa"/>
          </w:tcPr>
          <w:p w:rsidR="001461B7" w:rsidRDefault="00912F18" w:rsidP="00912F18">
            <w:pPr>
              <w:rPr>
                <w:b/>
              </w:rPr>
            </w:pPr>
            <w:r>
              <w:t>potrafi w stopniu zaawansowanym analizować i oceniać zagrożenia związane z problemami bezpieczeństwa na Bliskim Wschodzie.</w:t>
            </w:r>
          </w:p>
        </w:tc>
        <w:tc>
          <w:tcPr>
            <w:tcW w:w="1813" w:type="dxa"/>
          </w:tcPr>
          <w:p w:rsidR="001461B7" w:rsidRDefault="00912F18" w:rsidP="00F12B61">
            <w:pPr>
              <w:rPr>
                <w:b/>
              </w:rPr>
            </w:pPr>
            <w:r>
              <w:t xml:space="preserve">potrafi w stopniu zaawansowanym analizować i oceniać zagrożenia związane z problemami bezpieczeństwa na Bliskim Wschodzie. </w:t>
            </w:r>
            <w:r w:rsidR="001461B7">
              <w:t>Na podstawie tego potrafi wyciągnąć stosowne wnioski i zaprezentować je w szerszym gronie.</w:t>
            </w:r>
          </w:p>
        </w:tc>
      </w:tr>
      <w:tr w:rsidR="008E2CAA" w:rsidTr="00D32A05">
        <w:tc>
          <w:tcPr>
            <w:tcW w:w="1809" w:type="dxa"/>
          </w:tcPr>
          <w:p w:rsidR="008E2CAA" w:rsidRDefault="008E2CAA" w:rsidP="00BD58F9">
            <w:pPr>
              <w:rPr>
                <w:b/>
              </w:rPr>
            </w:pPr>
            <w:r>
              <w:rPr>
                <w:b/>
              </w:rPr>
              <w:t>K_01</w:t>
            </w:r>
          </w:p>
          <w:p w:rsidR="008E2CAA" w:rsidRDefault="008E2CAA" w:rsidP="00BD58F9">
            <w:pPr>
              <w:rPr>
                <w:b/>
              </w:rPr>
            </w:pPr>
            <w:r>
              <w:rPr>
                <w:b/>
              </w:rPr>
              <w:t>K_02</w:t>
            </w:r>
          </w:p>
        </w:tc>
        <w:tc>
          <w:tcPr>
            <w:tcW w:w="1811" w:type="dxa"/>
          </w:tcPr>
          <w:p w:rsidR="008E2CAA" w:rsidRDefault="008E2CAA" w:rsidP="008E2CAA">
            <w:pPr>
              <w:rPr>
                <w:b/>
              </w:rPr>
            </w:pPr>
            <w:r>
              <w:t xml:space="preserve">nie jest przygotowany do wykorzystania w praktyce wiedzy dot. bezpieczeństwa Bliskiego Wschodu. Nie jest przygotowany do </w:t>
            </w:r>
            <w:r>
              <w:lastRenderedPageBreak/>
              <w:t>samodzielnego zdobywania i doskonalenia wiedzy oraz umiejętności związanych z zagadnieniami bezpieczeństwa Bliskiego Wschodu oraz nie rozumie potrzeby stałego dokształcania się i podnoszenia własnych kwalifikacji zawodowych.</w:t>
            </w:r>
          </w:p>
        </w:tc>
        <w:tc>
          <w:tcPr>
            <w:tcW w:w="1814" w:type="dxa"/>
          </w:tcPr>
          <w:p w:rsidR="008E2CAA" w:rsidRDefault="008E2CAA" w:rsidP="008E2CAA">
            <w:pPr>
              <w:rPr>
                <w:b/>
              </w:rPr>
            </w:pPr>
            <w:r>
              <w:lastRenderedPageBreak/>
              <w:t xml:space="preserve">jest przygotowany w stopniu podstawowym do wykorzystania w praktyce wiedzy dot. bezpieczeństwa Bliskiego Wschodu. Jest </w:t>
            </w:r>
            <w:r>
              <w:lastRenderedPageBreak/>
              <w:t>przygotowany w stopniu podstawowym do samodzielnego zdobywania i doskonalenia wiedzy oraz umiejętności związanych z zagadnieniami bezpieczeństwa Bliskiego Wschodu oraz rozumie potrzebę stałego dokształcania się i podnoszenia własnych kwalifikacji zawodowych.</w:t>
            </w:r>
          </w:p>
        </w:tc>
        <w:tc>
          <w:tcPr>
            <w:tcW w:w="1814" w:type="dxa"/>
          </w:tcPr>
          <w:p w:rsidR="008E2CAA" w:rsidRDefault="008E2CAA" w:rsidP="008E2CAA">
            <w:pPr>
              <w:rPr>
                <w:b/>
              </w:rPr>
            </w:pPr>
            <w:r>
              <w:lastRenderedPageBreak/>
              <w:t xml:space="preserve">jest przygotowany w stopniu dobrym do wykorzystania w praktyce wiedzy dot. bezpieczeństwa Bliskiego Wschodu. Jest przygotowany w </w:t>
            </w:r>
            <w:r>
              <w:lastRenderedPageBreak/>
              <w:t>stopniu dobrym do samodzielnego zdobywania i doskonalenia wiedzy oraz umiejętności związanych z zagadnieniami bezpieczeństwa Bliskiego Wschodu oraz rozumie potrzebę stałego dokształcania się i podnoszenia własnych kwalifikacji zawodowych.</w:t>
            </w:r>
          </w:p>
        </w:tc>
        <w:tc>
          <w:tcPr>
            <w:tcW w:w="1814" w:type="dxa"/>
          </w:tcPr>
          <w:p w:rsidR="008E2CAA" w:rsidRDefault="008E2CAA" w:rsidP="008E2CAA">
            <w:pPr>
              <w:rPr>
                <w:b/>
              </w:rPr>
            </w:pPr>
            <w:r>
              <w:lastRenderedPageBreak/>
              <w:t xml:space="preserve">jest przygotowany w stopniu bardzo dobrym do wykorzystania w praktyce wiedzy dot. bezpieczeństwa Bliskiego Wschodu. Jest </w:t>
            </w:r>
            <w:r>
              <w:lastRenderedPageBreak/>
              <w:t>przygotowany w stopniu bardzo dobrym do samodzielnego zdobywania i doskonalenia wiedzy oraz umiejętności związanych z zagadnieniami bezpieczeństwa Bliskiego Wschodu oraz rozumie potrzebę stałego dokształcania się i podnoszenia własnych kwalifikacji zawodowych.</w:t>
            </w:r>
          </w:p>
        </w:tc>
      </w:tr>
    </w:tbl>
    <w:p w:rsidR="008262B7" w:rsidRPr="00BD58F9" w:rsidRDefault="008262B7" w:rsidP="00BD58F9">
      <w:pPr>
        <w:rPr>
          <w:b/>
        </w:rPr>
      </w:pPr>
    </w:p>
    <w:p w:rsidR="003C473D" w:rsidRDefault="003C473D">
      <w:pPr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5A6B6C" w:rsidRDefault="005A6B6C" w:rsidP="004E2DB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5A6B6C" w:rsidP="004E2DB4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F12B61" w:rsidP="00F12B61">
            <w:r w:rsidRPr="00F12B61">
              <w:t>J. Zdanowski, Historia Bliskiego Wschodu w XX wieku, Warszawa 2010. </w:t>
            </w:r>
            <w:r w:rsidRPr="00F12B61">
              <w:br/>
              <w:t xml:space="preserve">G. </w:t>
            </w:r>
            <w:proofErr w:type="spellStart"/>
            <w:r w:rsidRPr="00F12B61">
              <w:t>Corm</w:t>
            </w:r>
            <w:proofErr w:type="spellEnd"/>
            <w:r w:rsidRPr="00F12B61">
              <w:t>, Bliski Wschód w ogniu. Oblicza konfliktu 1956-2003, Warszawa 2003. </w:t>
            </w:r>
            <w:r w:rsidRPr="00F12B61">
              <w:br/>
              <w:t>J. Zdanowski, Historia społeczeństw muzułmańskiego Bliskiego Wschodu w XX wieku, Warszawa 2013. </w:t>
            </w:r>
            <w:r w:rsidRPr="00F12B61">
              <w:br/>
              <w:t xml:space="preserve">F. </w:t>
            </w:r>
            <w:proofErr w:type="spellStart"/>
            <w:r w:rsidRPr="00F12B61">
              <w:t>Halliday</w:t>
            </w:r>
            <w:proofErr w:type="spellEnd"/>
            <w:r w:rsidRPr="00F12B61">
              <w:t>, Bliski Wschód w stosunkach międzynarodowych, Kraków 2009. </w:t>
            </w:r>
            <w:r w:rsidRPr="00F12B61">
              <w:br/>
              <w:t>F. Ilkowski, S. Sulowski, Wybrane idee, partie i organizacje polityczne Bliskiego Wschodu, Warszawa 2014. </w:t>
            </w:r>
            <w:r w:rsidRPr="00F12B61">
              <w:br/>
              <w:t xml:space="preserve">H. </w:t>
            </w:r>
            <w:proofErr w:type="spellStart"/>
            <w:r w:rsidRPr="00F12B61">
              <w:t>Jamsheer</w:t>
            </w:r>
            <w:proofErr w:type="spellEnd"/>
            <w:r w:rsidRPr="00F12B61">
              <w:t>, Konflikt Bliskowschodni: Zarys i Dokumentacja, Płock 2004. </w:t>
            </w:r>
            <w:r w:rsidRPr="00F12B61">
              <w:br/>
              <w:t xml:space="preserve">K. Czajkowska, A. </w:t>
            </w:r>
            <w:proofErr w:type="spellStart"/>
            <w:r w:rsidRPr="00F12B61">
              <w:t>Diawoł</w:t>
            </w:r>
            <w:proofErr w:type="spellEnd"/>
            <w:r w:rsidRPr="00F12B61">
              <w:t>-Sitko, Systemy polityczne wybranych państw Bliskiego Wschodu, Warszawa 2012. </w:t>
            </w:r>
            <w:r w:rsidRPr="00F12B61">
              <w:br/>
              <w:t>Bliski Wschód w XXI wieku. Polityka. Społeczeństwo. Zmiana, red. J. Marszałek-Kawa, J. Piechowiak-Lamparska, Toruń 2014.</w:t>
            </w:r>
            <w:r w:rsidRPr="00AB5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AD04A5" w:rsidTr="004E2DB4">
        <w:tc>
          <w:tcPr>
            <w:tcW w:w="9212" w:type="dxa"/>
          </w:tcPr>
          <w:p w:rsidR="004E2DB4" w:rsidRPr="00AD04A5" w:rsidRDefault="00F12B61" w:rsidP="00AD04A5">
            <w:pPr>
              <w:rPr>
                <w:b/>
              </w:rPr>
            </w:pPr>
            <w:r w:rsidRPr="00F12B61">
              <w:t>Bliski Wschód coraz bliżej, red. J. Danecki, S. Sulowski, Warszawa 2011. </w:t>
            </w:r>
            <w:r w:rsidRPr="00F12B61">
              <w:br/>
              <w:t xml:space="preserve">J. </w:t>
            </w:r>
            <w:proofErr w:type="spellStart"/>
            <w:r w:rsidRPr="00F12B61">
              <w:t>Armbruster</w:t>
            </w:r>
            <w:proofErr w:type="spellEnd"/>
            <w:r w:rsidRPr="00F12B61">
              <w:t>, Arabska wiosna. Rewolucja w świecie islamskim, Wrocław 2011. </w:t>
            </w:r>
            <w:r w:rsidRPr="00F12B61">
              <w:br/>
              <w:t>K. E. Schulze, Konflikt arabsko-izraelski, Warszawa 2010. </w:t>
            </w:r>
            <w:r w:rsidRPr="00F12B61">
              <w:br/>
              <w:t>M. Münnich, Syria wiosną 2015. Spojrzenie niepoprawne politycznie, Lublin 2015.</w:t>
            </w:r>
          </w:p>
        </w:tc>
      </w:tr>
    </w:tbl>
    <w:p w:rsidR="004E2DB4" w:rsidRPr="00AD04A5" w:rsidRDefault="004E2DB4" w:rsidP="00AD04A5">
      <w:pPr>
        <w:spacing w:after="0" w:line="240" w:lineRule="auto"/>
        <w:rPr>
          <w:b/>
        </w:rPr>
      </w:pPr>
    </w:p>
    <w:p w:rsidR="00C961A5" w:rsidRPr="00AD04A5" w:rsidRDefault="00C961A5" w:rsidP="00AD04A5">
      <w:pPr>
        <w:spacing w:line="240" w:lineRule="auto"/>
      </w:pPr>
    </w:p>
    <w:sectPr w:rsidR="00C961A5" w:rsidRPr="00AD04A5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E3" w:rsidRDefault="00700DE3" w:rsidP="00B04272">
      <w:pPr>
        <w:spacing w:after="0" w:line="240" w:lineRule="auto"/>
      </w:pPr>
      <w:r>
        <w:separator/>
      </w:r>
    </w:p>
  </w:endnote>
  <w:endnote w:type="continuationSeparator" w:id="0">
    <w:p w:rsidR="00700DE3" w:rsidRDefault="00700DE3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E3" w:rsidRDefault="00700DE3" w:rsidP="00B04272">
      <w:pPr>
        <w:spacing w:after="0" w:line="240" w:lineRule="auto"/>
      </w:pPr>
      <w:r>
        <w:separator/>
      </w:r>
    </w:p>
  </w:footnote>
  <w:footnote w:type="continuationSeparator" w:id="0">
    <w:p w:rsidR="00700DE3" w:rsidRDefault="00700DE3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64C18"/>
    <w:multiLevelType w:val="hybridMultilevel"/>
    <w:tmpl w:val="B76A0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9B1"/>
    <w:multiLevelType w:val="hybridMultilevel"/>
    <w:tmpl w:val="C608A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26"/>
  </w:num>
  <w:num w:numId="5">
    <w:abstractNumId w:val="5"/>
  </w:num>
  <w:num w:numId="6">
    <w:abstractNumId w:val="25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20"/>
  </w:num>
  <w:num w:numId="26">
    <w:abstractNumId w:val="24"/>
  </w:num>
  <w:num w:numId="27">
    <w:abstractNumId w:val="1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209E"/>
    <w:rsid w:val="00115BF8"/>
    <w:rsid w:val="001461B7"/>
    <w:rsid w:val="001A52CD"/>
    <w:rsid w:val="001A5D37"/>
    <w:rsid w:val="001C0192"/>
    <w:rsid w:val="001C278A"/>
    <w:rsid w:val="001C7647"/>
    <w:rsid w:val="0020778E"/>
    <w:rsid w:val="00216EC6"/>
    <w:rsid w:val="00221C60"/>
    <w:rsid w:val="002754C6"/>
    <w:rsid w:val="002778F0"/>
    <w:rsid w:val="002B2446"/>
    <w:rsid w:val="002C4193"/>
    <w:rsid w:val="002D1A52"/>
    <w:rsid w:val="002F2985"/>
    <w:rsid w:val="00304259"/>
    <w:rsid w:val="00317BBA"/>
    <w:rsid w:val="00322A9E"/>
    <w:rsid w:val="0033369E"/>
    <w:rsid w:val="003501E6"/>
    <w:rsid w:val="00372079"/>
    <w:rsid w:val="003B4E9A"/>
    <w:rsid w:val="003C473D"/>
    <w:rsid w:val="003C65DA"/>
    <w:rsid w:val="003D4626"/>
    <w:rsid w:val="004051F6"/>
    <w:rsid w:val="00450FA6"/>
    <w:rsid w:val="00461057"/>
    <w:rsid w:val="00491AA6"/>
    <w:rsid w:val="004B6F7B"/>
    <w:rsid w:val="004E2DB4"/>
    <w:rsid w:val="004F73CF"/>
    <w:rsid w:val="00510BB7"/>
    <w:rsid w:val="00516FCB"/>
    <w:rsid w:val="0054356A"/>
    <w:rsid w:val="00556FCA"/>
    <w:rsid w:val="00583DB9"/>
    <w:rsid w:val="00597120"/>
    <w:rsid w:val="005A2889"/>
    <w:rsid w:val="005A3D71"/>
    <w:rsid w:val="005A6B6C"/>
    <w:rsid w:val="006332DE"/>
    <w:rsid w:val="006500EA"/>
    <w:rsid w:val="006534C9"/>
    <w:rsid w:val="006545AA"/>
    <w:rsid w:val="0066271E"/>
    <w:rsid w:val="00685044"/>
    <w:rsid w:val="006E4CDB"/>
    <w:rsid w:val="00700DE3"/>
    <w:rsid w:val="00725F75"/>
    <w:rsid w:val="00732E45"/>
    <w:rsid w:val="0075238D"/>
    <w:rsid w:val="00757261"/>
    <w:rsid w:val="007841B3"/>
    <w:rsid w:val="007D0038"/>
    <w:rsid w:val="007D6295"/>
    <w:rsid w:val="008215CC"/>
    <w:rsid w:val="008262B7"/>
    <w:rsid w:val="00846DB2"/>
    <w:rsid w:val="008E2C5B"/>
    <w:rsid w:val="008E2CAA"/>
    <w:rsid w:val="008E4017"/>
    <w:rsid w:val="00912F18"/>
    <w:rsid w:val="009168BF"/>
    <w:rsid w:val="00933F07"/>
    <w:rsid w:val="0094214C"/>
    <w:rsid w:val="009A3E73"/>
    <w:rsid w:val="009D424F"/>
    <w:rsid w:val="00A40520"/>
    <w:rsid w:val="00A45238"/>
    <w:rsid w:val="00A459FD"/>
    <w:rsid w:val="00A5036D"/>
    <w:rsid w:val="00A73CDC"/>
    <w:rsid w:val="00AC55E0"/>
    <w:rsid w:val="00AD04A5"/>
    <w:rsid w:val="00B04272"/>
    <w:rsid w:val="00B91D27"/>
    <w:rsid w:val="00BC34E6"/>
    <w:rsid w:val="00BC4DCB"/>
    <w:rsid w:val="00BD58F9"/>
    <w:rsid w:val="00BE454D"/>
    <w:rsid w:val="00C24CC4"/>
    <w:rsid w:val="00C37A43"/>
    <w:rsid w:val="00C52E02"/>
    <w:rsid w:val="00C748B5"/>
    <w:rsid w:val="00C961A5"/>
    <w:rsid w:val="00CB533F"/>
    <w:rsid w:val="00CB5A92"/>
    <w:rsid w:val="00CD7096"/>
    <w:rsid w:val="00D27DDC"/>
    <w:rsid w:val="00D406F6"/>
    <w:rsid w:val="00DA42A4"/>
    <w:rsid w:val="00DB781E"/>
    <w:rsid w:val="00E35724"/>
    <w:rsid w:val="00E43C97"/>
    <w:rsid w:val="00E45258"/>
    <w:rsid w:val="00EF1C6F"/>
    <w:rsid w:val="00F12B61"/>
    <w:rsid w:val="00F25E7F"/>
    <w:rsid w:val="00F54F71"/>
    <w:rsid w:val="00F567AB"/>
    <w:rsid w:val="00FA50B3"/>
    <w:rsid w:val="00FC6CE1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16D4"/>
  <w15:docId w15:val="{D5008DA0-0CBF-4EF2-A4FB-3EEF5C30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4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1D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E4C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D04A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1D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3uucc">
    <w:name w:val="s3uucc"/>
    <w:basedOn w:val="Domylnaczcionkaakapitu"/>
    <w:rsid w:val="00B91D27"/>
  </w:style>
  <w:style w:type="character" w:styleId="UyteHipercze">
    <w:name w:val="FollowedHyperlink"/>
    <w:basedOn w:val="Domylnaczcionkaakapitu"/>
    <w:uiPriority w:val="99"/>
    <w:semiHidden/>
    <w:unhideWhenUsed/>
    <w:rsid w:val="00F25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l.ac.uk/study/courses-data/modules/6/security-issues-in-the-middle-east-and-north-africa-6ssw2041" TargetMode="External"/><Relationship Id="rId13" Type="http://schemas.openxmlformats.org/officeDocument/2006/relationships/hyperlink" Target="https://pl.wikipedia.org/wiki/Deklaracja_Balfoura" TargetMode="External"/><Relationship Id="rId18" Type="http://schemas.openxmlformats.org/officeDocument/2006/relationships/hyperlink" Target="https://www.cia.gov/library/readingroom/docs/LOC-HAK-480-3-1-4.pdf" TargetMode="External"/><Relationship Id="rId26" Type="http://schemas.openxmlformats.org/officeDocument/2006/relationships/hyperlink" Target="https://web.archive.org/web/20021115183950/http://knesset.gov.il/process/docs/oslo_eng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z.pl/117-polityka/mariusz-piskur-system-polityczny-islamskiej-republiki-iran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ewishvirtuallibrary.org/text-of-the-balfour-declaration" TargetMode="External"/><Relationship Id="rId17" Type="http://schemas.openxmlformats.org/officeDocument/2006/relationships/hyperlink" Target="http://jason-happy-polak.blogspot.com/2013/12/rezolucja-rady-bezpieczenstwa-onz-numer.html" TargetMode="External"/><Relationship Id="rId25" Type="http://schemas.openxmlformats.org/officeDocument/2006/relationships/hyperlink" Target="https://vision2030.gov.sa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S/RES/242(1967)" TargetMode="External"/><Relationship Id="rId20" Type="http://schemas.openxmlformats.org/officeDocument/2006/relationships/hyperlink" Target="https://hezbollah.org/" TargetMode="External"/><Relationship Id="rId29" Type="http://schemas.openxmlformats.org/officeDocument/2006/relationships/hyperlink" Target="http://www.securitycouncilreport.org/atf/cf/%7B65BFCF9B-6D27-4E9C-8CD3-CF6E4FF96FF9%7D/s_res_225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Umowa_Sykes-Picot" TargetMode="External"/><Relationship Id="rId24" Type="http://schemas.openxmlformats.org/officeDocument/2006/relationships/hyperlink" Target="https://erpic.org/wp-content/uploads/2017/02/erato-kozakou-marcoullis-ahmet-davutoglu-a-new-era-in-turkeys-foreign%20-policy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Rezolucja_Zgromadzenia_Og%C3%B3lnego_ONZ_nr_181" TargetMode="External"/><Relationship Id="rId23" Type="http://schemas.openxmlformats.org/officeDocument/2006/relationships/hyperlink" Target="http://www.stosunki.pl/content/koncepcja-strategicznej-g%C5%82%C4%99bi-stratejik-derinlik-jako-nowa-doktryna-polityki-zagranicznej-tu" TargetMode="External"/><Relationship Id="rId28" Type="http://schemas.openxmlformats.org/officeDocument/2006/relationships/hyperlink" Target="https://pl.wikipedia.org/wiki/Plan_Trumpa" TargetMode="External"/><Relationship Id="rId10" Type="http://schemas.openxmlformats.org/officeDocument/2006/relationships/hyperlink" Target="https://wwi.lib.byu.edu/index.php/Sykes-Picot_Agreement" TargetMode="External"/><Relationship Id="rId19" Type="http://schemas.openxmlformats.org/officeDocument/2006/relationships/hyperlink" Target="https://www.english.alahednews.com.lb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source.org/wiki/McMahon%E2%80%93Hussein_Correspondence" TargetMode="External"/><Relationship Id="rId14" Type="http://schemas.openxmlformats.org/officeDocument/2006/relationships/hyperlink" Target="https://www.un.org/en/ga/search/view_doc.asp?symbol=A/RES/181(II)" TargetMode="External"/><Relationship Id="rId22" Type="http://schemas.openxmlformats.org/officeDocument/2006/relationships/hyperlink" Target="http://www.servat.unibe.ch/icl/ir00000_.html" TargetMode="External"/><Relationship Id="rId27" Type="http://schemas.openxmlformats.org/officeDocument/2006/relationships/hyperlink" Target="https://trumpwhitehouse.archives.gov/wp-content/uploads/2020/01/Peace-to-Prosperity-0120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001F-0794-4CD8-9EDB-E04F8C9F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profesor</cp:lastModifiedBy>
  <cp:revision>8</cp:revision>
  <cp:lastPrinted>2019-01-23T11:10:00Z</cp:lastPrinted>
  <dcterms:created xsi:type="dcterms:W3CDTF">2019-12-10T08:52:00Z</dcterms:created>
  <dcterms:modified xsi:type="dcterms:W3CDTF">2022-01-12T12:33:00Z</dcterms:modified>
</cp:coreProperties>
</file>