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Nazwa przedmiotu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Organizacja centrum kryzysowego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Nazwa przedmiotu w języku angielskim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lang w:val="en-US" w:eastAsia="pl-PL"/>
              </w:rPr>
              <w:t>Organization of a crisis center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Kierunek studiów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Bezpieczeństwo narodowe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Poziom studiów (I, II, jednolite magisterskie)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I stopień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Forma studiów (stacjonarne, niestacjonarne)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Stacjonarne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Dyscyplina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Nauki o polityce i administracji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Język wykładowy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Koordynator przedmiotu/osoba odpowiedzialna</w:t>
            </w:r>
          </w:p>
        </w:tc>
        <w:tc>
          <w:tcPr>
            <w:tcW w:w="46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Dr Konrad Słowiński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302"/>
        <w:gridCol w:w="2303"/>
        <w:gridCol w:w="2306"/>
        <w:gridCol w:w="2299"/>
      </w:tblGrid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Forma zajęć</w:t>
            </w:r>
            <w:r>
              <w:rPr>
                <w:i/>
                <w:kern w:val="0"/>
                <w:sz w:val="20"/>
              </w:rPr>
              <w:t>(katalog zamknięty ze słownika)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Liczba godzin</w:t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semestr</w:t>
            </w:r>
          </w:p>
        </w:tc>
        <w:tc>
          <w:tcPr>
            <w:tcW w:w="22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Punkty ECTS</w:t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wykład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15</w:t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III</w:t>
            </w:r>
          </w:p>
        </w:tc>
        <w:tc>
          <w:tcPr>
            <w:tcW w:w="229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4</w:t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konwersatorium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ćwiczenia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30</w:t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III</w:t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laboratorium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warsztaty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seminarium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proseminarium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lektorat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praktyki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zajęcia terenowe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pracownia dyplomowa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translatorium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wizyta studyjna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232"/>
        <w:gridCol w:w="6979"/>
      </w:tblGrid>
      <w:tr>
        <w:trPr/>
        <w:tc>
          <w:tcPr>
            <w:tcW w:w="223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Wymagania wstępne</w:t>
            </w:r>
          </w:p>
        </w:tc>
        <w:tc>
          <w:tcPr>
            <w:tcW w:w="697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W1 – zainteresowanie przedmiotem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 xml:space="preserve">C1- Dostarczenie i utrwalenie wiedzy o podstawach zarządzania bezpieczeństwem </w:t>
              <w:br/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C2 - Zapoznanie z zadaniami, organizacją i zasadami funkcjonowania organów zarządzania bezpieczeństwem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097"/>
        <w:gridCol w:w="5954"/>
        <w:gridCol w:w="2160"/>
      </w:tblGrid>
      <w:tr>
        <w:trPr/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Symbol</w:t>
            </w:r>
          </w:p>
        </w:tc>
        <w:tc>
          <w:tcPr>
            <w:tcW w:w="595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Opis efektu przedmiotowego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Odniesienie do efektu kierunkowego</w:t>
            </w:r>
          </w:p>
        </w:tc>
      </w:tr>
      <w:tr>
        <w:trPr/>
        <w:tc>
          <w:tcPr>
            <w:tcW w:w="921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WIEDZA</w:t>
            </w:r>
          </w:p>
        </w:tc>
      </w:tr>
      <w:tr>
        <w:trPr/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W_01</w:t>
            </w:r>
          </w:p>
        </w:tc>
        <w:tc>
          <w:tcPr>
            <w:tcW w:w="595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Student definiuje i objaśnia podstawowe terminy z zakresu organizacji i zarządzania bezpieczeństwem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K_W02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W_02</w:t>
            </w:r>
          </w:p>
        </w:tc>
        <w:tc>
          <w:tcPr>
            <w:tcW w:w="595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Student objaśnia organizację zarządzania bezpieczeństwem w RP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K_W04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W_03</w:t>
            </w:r>
          </w:p>
        </w:tc>
        <w:tc>
          <w:tcPr>
            <w:tcW w:w="595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Student definiuje zadania podmiotów zarządzania bezpieczeństwem w RP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K_W06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21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UMIEJĘTNOŚCI</w:t>
            </w:r>
          </w:p>
        </w:tc>
      </w:tr>
      <w:tr>
        <w:trPr/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U_01</w:t>
            </w:r>
          </w:p>
        </w:tc>
        <w:tc>
          <w:tcPr>
            <w:tcW w:w="595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Student analizuje role administracji publicznej w organizacji i zarządzaniu bezpieczeństwem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kern w:val="0"/>
                <w:lang w:eastAsia="pl-PL"/>
              </w:rPr>
              <w:t>K_U02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U_02</w:t>
            </w:r>
          </w:p>
        </w:tc>
        <w:tc>
          <w:tcPr>
            <w:tcW w:w="595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Student rozwija role organów samorządu terytorialnego w organizacji i zarządzaniu bezpieczeństwem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kern w:val="0"/>
                <w:lang w:eastAsia="pl-PL"/>
              </w:rPr>
              <w:t>K_U06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U_03</w:t>
            </w:r>
          </w:p>
        </w:tc>
        <w:tc>
          <w:tcPr>
            <w:tcW w:w="595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Student porządkuje zadania organów samorządu terytorialnego w ramach organizacji i zarządzania bezpieczeństwem w różnych stanach funkcjonowania państwa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kern w:val="0"/>
                <w:lang w:eastAsia="pl-PL"/>
              </w:rPr>
              <w:t>K_U08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21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KOMPETENCJE SPOŁECZNE</w:t>
            </w:r>
          </w:p>
        </w:tc>
      </w:tr>
      <w:tr>
        <w:trPr/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K_01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K_02</w:t>
            </w:r>
          </w:p>
        </w:tc>
        <w:tc>
          <w:tcPr>
            <w:tcW w:w="595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Student potrafi dostosować się do zasad działania organów samorządu terytorialnego w zakresie kierowania bezpieczeństwem narodowym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kern w:val="0"/>
                <w:lang w:eastAsia="pl-PL"/>
              </w:rPr>
              <w:t>K_K01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lang w:eastAsia="pl-PL"/>
              </w:rPr>
              <w:t>K_K03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 xml:space="preserve">1. Bezpieczeństwo i jego zagrożenia </w:t>
              <w:br/>
              <w:t xml:space="preserve">2. Organizacja i zarządzanie bezpieczeństwem </w:t>
              <w:br/>
              <w:t xml:space="preserve">3. Organizacja i zarządzanie centrum kryzysowym na poziomie centralnym administracji publicznej (zespolonej i niezespolonej) </w:t>
              <w:br/>
              <w:t xml:space="preserve">4. Organizacja i zarządzanie centrum kryzysowym na szczeblu województwa </w:t>
              <w:br/>
              <w:t>5. Organizacja i zarządzanie centrum kryzysowym na szczeblu powiatu i gminy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098"/>
        <w:gridCol w:w="2695"/>
        <w:gridCol w:w="2835"/>
        <w:gridCol w:w="2583"/>
      </w:tblGrid>
      <w:tr>
        <w:trPr/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Symbol efektu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Metody dydaktyczne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i/>
                <w:kern w:val="0"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Metody weryfikacji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i/>
                <w:kern w:val="0"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Sposoby dokumentacji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i/>
                <w:kern w:val="0"/>
                <w:sz w:val="18"/>
                <w:szCs w:val="18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WIEDZA</w:t>
            </w:r>
          </w:p>
        </w:tc>
      </w:tr>
      <w:tr>
        <w:trPr/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W_01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Wykład konwersatoryjny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Egzamin</w:t>
            </w:r>
          </w:p>
        </w:tc>
        <w:tc>
          <w:tcPr>
            <w:tcW w:w="25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Protokół</w:t>
            </w:r>
          </w:p>
        </w:tc>
      </w:tr>
      <w:tr>
        <w:trPr/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W_02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Wykład konwersatoryjny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Egzamin</w:t>
            </w:r>
          </w:p>
        </w:tc>
        <w:tc>
          <w:tcPr>
            <w:tcW w:w="25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Protokół</w:t>
            </w:r>
          </w:p>
        </w:tc>
      </w:tr>
      <w:tr>
        <w:trPr/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W_03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Wykład konwersatoryjny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Egzamin</w:t>
            </w:r>
          </w:p>
        </w:tc>
        <w:tc>
          <w:tcPr>
            <w:tcW w:w="25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UMIEJĘTNOŚCI</w:t>
            </w:r>
          </w:p>
        </w:tc>
      </w:tr>
      <w:tr>
        <w:trPr/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U_01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Dyskusja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Egzamin</w:t>
            </w:r>
          </w:p>
        </w:tc>
        <w:tc>
          <w:tcPr>
            <w:tcW w:w="25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Protokół</w:t>
            </w:r>
          </w:p>
        </w:tc>
      </w:tr>
      <w:tr>
        <w:trPr/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U_02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Dyskusja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Egzamin</w:t>
            </w:r>
          </w:p>
        </w:tc>
        <w:tc>
          <w:tcPr>
            <w:tcW w:w="25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Protokół</w:t>
            </w:r>
          </w:p>
        </w:tc>
      </w:tr>
      <w:tr>
        <w:trPr/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U_03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Dyskusja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Egzamin</w:t>
            </w:r>
          </w:p>
        </w:tc>
        <w:tc>
          <w:tcPr>
            <w:tcW w:w="25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KOMPETENCJE SPOŁECZNE</w:t>
            </w:r>
          </w:p>
        </w:tc>
      </w:tr>
      <w:tr>
        <w:trPr/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K_01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Dyskusja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Egzamin</w:t>
            </w:r>
          </w:p>
        </w:tc>
        <w:tc>
          <w:tcPr>
            <w:tcW w:w="25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Protokół</w:t>
            </w:r>
          </w:p>
        </w:tc>
      </w:tr>
      <w:tr>
        <w:trPr/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K_02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Dyskusja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Egzamin</w:t>
            </w:r>
          </w:p>
        </w:tc>
        <w:tc>
          <w:tcPr>
            <w:tcW w:w="25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>
          <w:rFonts w:cs="Times New Roman" w:ascii="Times New Roman" w:hAnsi="Times New Roman"/>
        </w:rPr>
        <w:t>Obecność i aktywność na zajęciach. Zaliczenie pisemne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1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Forma aktywności studenta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Liczba godzin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Liczba godzin kontaktowych z nauczycielem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20"/>
                <w:szCs w:val="18"/>
              </w:rPr>
            </w:r>
          </w:p>
        </w:tc>
        <w:tc>
          <w:tcPr>
            <w:tcW w:w="46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0"/>
              </w:rPr>
              <w:t>45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Liczba godzin indywidualnej pracy studenta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20"/>
                <w:szCs w:val="18"/>
              </w:rPr>
            </w:r>
          </w:p>
        </w:tc>
        <w:tc>
          <w:tcPr>
            <w:tcW w:w="46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0"/>
              </w:rPr>
              <w:t>75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 xml:space="preserve">1. A. Misiuk, </w:t>
            </w:r>
            <w:r>
              <w:rPr>
                <w:rFonts w:cs="Times New Roman" w:ascii="Times New Roman" w:hAnsi="Times New Roman"/>
                <w:i/>
                <w:kern w:val="0"/>
                <w:sz w:val="20"/>
              </w:rPr>
              <w:t>Administracja porządku i bezpieczeństwa publicznego</w:t>
            </w:r>
            <w:r>
              <w:rPr>
                <w:rFonts w:cs="Times New Roman" w:ascii="Times New Roman" w:hAnsi="Times New Roman"/>
                <w:kern w:val="0"/>
                <w:sz w:val="20"/>
              </w:rPr>
              <w:t xml:space="preserve">, Wydawnictwo Akademickie </w:t>
              <w:br/>
              <w:t>i Profesjonalne, Warszawa, 2008.</w:t>
              <w:br/>
              <w:t xml:space="preserve">2. J. Kaczmarek, </w:t>
            </w:r>
            <w:r>
              <w:rPr>
                <w:rFonts w:cs="Times New Roman" w:ascii="Times New Roman" w:hAnsi="Times New Roman"/>
                <w:i/>
                <w:kern w:val="0"/>
                <w:sz w:val="20"/>
              </w:rPr>
              <w:t>Współczesne bezpieczeństwo</w:t>
            </w:r>
            <w:r>
              <w:rPr>
                <w:rFonts w:cs="Times New Roman" w:ascii="Times New Roman" w:hAnsi="Times New Roman"/>
                <w:kern w:val="0"/>
                <w:sz w:val="20"/>
              </w:rPr>
              <w:t>, AON, Warszawa, 2008.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 xml:space="preserve">3. J. Rajchel, E. Dubios,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 xml:space="preserve">Administracja wobec wyzwań bezpieczeństwa państwa i porządku publicznego, </w:t>
            </w: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>Wydawnictwo Wyższej Szkoły Oficerskiej Sił Powietrznych,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>Dęblin, 2016.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 xml:space="preserve">4. A. Warmiński,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 xml:space="preserve">Administracja bezpieczeństwa i porządku publicznego w Polsce, </w:t>
            </w: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>Elipsa, Warszawa, 2013.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 xml:space="preserve">5. S. Piperzny,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 xml:space="preserve">Ochrona bezpieczeństwa i porządku publicznego w prawie administracyjny, </w:t>
            </w: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 xml:space="preserve">Wydawnictwo Uniwersytetu Rzeszowskiego, Rzeszów, 2007. </w:t>
            </w:r>
            <w:r>
              <w:rPr>
                <w:rFonts w:cs="Times New Roman" w:ascii="Times New Roman" w:hAnsi="Times New Roman"/>
                <w:kern w:val="0"/>
                <w:sz w:val="20"/>
              </w:rPr>
              <w:br/>
              <w:t xml:space="preserve">6. </w:t>
            </w:r>
            <w:r>
              <w:rPr>
                <w:rFonts w:cs="Times New Roman" w:ascii="Times New Roman" w:hAnsi="Times New Roman"/>
                <w:i/>
                <w:kern w:val="0"/>
                <w:sz w:val="20"/>
              </w:rPr>
              <w:t>Zadania obronne samorządu terytorialnego</w:t>
            </w:r>
            <w:r>
              <w:rPr>
                <w:rFonts w:cs="Times New Roman" w:ascii="Times New Roman" w:hAnsi="Times New Roman"/>
                <w:kern w:val="0"/>
                <w:sz w:val="20"/>
              </w:rPr>
              <w:t>, W. Kitler (red.), AON, Warszawa, 2009.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 xml:space="preserve">7.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 xml:space="preserve">Zagadnienia ogólne z zakresu zarządzania ryzykiem i zarządzania kryzysowego. Analiza wybranych przepisów, </w:t>
            </w: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>D. Wróblewski (red.), Centrum Naukowo Badawcze Ochrony Przeciwpożarowej, Józefów 2014.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 xml:space="preserve">8. K. </w:t>
            </w:r>
            <w:bookmarkStart w:id="1" w:name="__DdeLink__970_365689996"/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 xml:space="preserve">Sienkiewicz-Małyjurek, F. R. Krynojewski,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>Zarządzanie kryzysowe w administracji public</w:t>
            </w:r>
            <w:bookmarkEnd w:id="1"/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>znej</w:t>
            </w: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>, Wyd. 2, Difin, Warszawa 2016.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 xml:space="preserve">1. W. Kitler, </w:t>
            </w:r>
            <w:r>
              <w:rPr>
                <w:rFonts w:cs="Times New Roman" w:ascii="Times New Roman" w:hAnsi="Times New Roman"/>
                <w:i/>
                <w:kern w:val="0"/>
                <w:sz w:val="20"/>
              </w:rPr>
              <w:t>Samorząd terytorialny w obronie narodowej RP</w:t>
            </w:r>
            <w:r>
              <w:rPr>
                <w:rFonts w:cs="Times New Roman" w:ascii="Times New Roman" w:hAnsi="Times New Roman"/>
                <w:kern w:val="0"/>
                <w:sz w:val="20"/>
              </w:rPr>
              <w:t>, AON, Warszawa, 2005.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 xml:space="preserve">2.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 xml:space="preserve">System bezpieczeństwa i porządku publicznego. Organy i inne podmioty administracji, </w:t>
            </w: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>M. Zdyb, J. Stelmasiak, K. Sikora (red.), Wolters Kluwer, Warszawa, 2015.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 xml:space="preserve">3.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 xml:space="preserve">Praktyczne aspekty współdziałania terenowych organów administracji wojskowej i administracji publicznej w sytuacjach kryzysowych, </w:t>
            </w: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>P. Polko, M Walancik, Wyższa Szkoła Biznesu w Dąbrowie Górniczej, Dąbrowa Górnicza, 2015.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 xml:space="preserve">4. K. Ficoń,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 xml:space="preserve">Logistyka kryzysowa. Procedury, potrzeby, potencjał, </w:t>
            </w: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>BEL Studio, Warszawa 2011.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6788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5c7722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142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5c772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CF0F-05DC-464F-A48B-D1DE2289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LibreOffice/7.2.6.2$Windows_X86_64 LibreOffice_project/b0ec3a565991f7569a5a7f5d24fed7f52653d754</Application>
  <AppVersion>15.0000</AppVersion>
  <Pages>4</Pages>
  <Words>583</Words>
  <Characters>4187</Characters>
  <CharactersWithSpaces>4630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2019-06-22T12:49:00Z</dcterms:created>
  <dc:creator>Anna Łukasiewicz</dc:creator>
  <dc:description/>
  <dc:language>pl-PL</dc:language>
  <cp:lastModifiedBy/>
  <cp:lastPrinted>2019-01-23T11:10:00Z</cp:lastPrinted>
  <dcterms:modified xsi:type="dcterms:W3CDTF">2022-11-23T13:52:55Z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