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Nazwa przedmiotu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Organizacja centrum kryzysowego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Nazwa przedmiotu w języku angielskim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lang w:val="en-US" w:eastAsia="pl-PL"/>
              </w:rPr>
              <w:t>Organization of a crisis center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Kierunek studiów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Poziom studiów (I, II, jednolite magisterskie)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I stopień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Forma studiów (stacjonarne, niestacjonarne)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Dyscyplina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Nauki o polityce i administracji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Język wykładowy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Koordynator przedmiotu/osoba odpowiedzialna</w:t>
            </w:r>
          </w:p>
        </w:tc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Dr Konrad Słowiński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302"/>
        <w:gridCol w:w="2303"/>
        <w:gridCol w:w="2306"/>
        <w:gridCol w:w="2299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Forma zajęć</w:t>
            </w:r>
            <w:r>
              <w:rPr>
                <w:i/>
                <w:kern w:val="0"/>
                <w:sz w:val="20"/>
              </w:rPr>
              <w:t>(katalog zamknięty ze słownika)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Liczba godzin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semestr</w:t>
            </w:r>
          </w:p>
        </w:tc>
        <w:tc>
          <w:tcPr>
            <w:tcW w:w="229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wykład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15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III</w:t>
            </w:r>
          </w:p>
        </w:tc>
        <w:tc>
          <w:tcPr>
            <w:tcW w:w="229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4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konwersatorium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ćwiczenia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30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III</w:t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laboratorium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warsztaty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seminarium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proseminarium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lektorat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praktyki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zajęcia terenowe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pracownia dyplomowa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translatorium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wizyta studyjna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9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Wymagania wstępne</w:t>
            </w:r>
          </w:p>
        </w:tc>
        <w:tc>
          <w:tcPr>
            <w:tcW w:w="69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W1 – 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C1- Dostarczenie i utrwalenie wiedzy o podstawach zarządzania bezpieczeństwem </w:t>
              <w:br/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C2 - Zapoznanie z zadaniami, organizacją i zasadami funkcjonowania organów zarządzania bezpieczeństwem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Symbol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Opis efektu przedmiotowego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WIEDZA</w:t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W_01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definiuje i objaśnia podstawowe terminy z zakresu organizacji i zarządzania bezpieczeństwem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W_02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objaśnia organizację zarządzania bezpieczeństwem w RP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K_W04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W_03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definiuje zadania podmiotów zarządzania bezpieczeństwem w RP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K_W06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U_01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analizuje role administracji publicznej w organizacji i zarządzaniu bezpieczeństwem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lang w:eastAsia="pl-PL"/>
              </w:rPr>
              <w:t>K_U02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U_02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rozwija role organów samorządu terytorialnego w organizacji i zarządzaniu bezpieczeństwem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lang w:eastAsia="pl-PL"/>
              </w:rPr>
              <w:t>K_U06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U_03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porządkuje zadania organów samorządu terytorialnego w ramach organizacji i zarządzania bezpieczeństwem w różnych stanach funkcjonowania państwa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lang w:eastAsia="pl-PL"/>
              </w:rPr>
              <w:t>K_U08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K_01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K_02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Student potrafi dostosować się do zasad działania organów samorządu terytorialnego w zakresie kierowania bezpieczeństwem narodowym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lang w:eastAsia="pl-PL"/>
              </w:rPr>
              <w:t>K_K01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eastAsia="pl-PL"/>
              </w:rPr>
              <w:t>K_K03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1. Bezpieczeństwo i jego zagrożenia </w:t>
              <w:br/>
              <w:t xml:space="preserve">2. Organizacja i zarządzanie bezpieczeństwem </w:t>
              <w:br/>
              <w:t xml:space="preserve">3. Organizacja i zarządzanie centrum kryzysowym na poziomie centralnym administracji publicznej (zespolonej i niezespolonej) </w:t>
              <w:br/>
              <w:t xml:space="preserve">4. Organizacja i zarządzanie centrum kryzysowym na szczeblu województwa </w:t>
              <w:br/>
              <w:t>5. Organizacja i zarządzanie centrum kryzysowym na szczeblu powiatu i gminy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98"/>
        <w:gridCol w:w="2695"/>
        <w:gridCol w:w="2835"/>
        <w:gridCol w:w="2583"/>
      </w:tblGrid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Symbol efektu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W_01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Wykład konwersatoryjny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W_02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Wykład konwersatoryjny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W_03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Wykład konwersatoryjny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U_01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Dyskusja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U_02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Dyskusja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U_03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Dyskusja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K_01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Dyskusja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K_02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Dyskusja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Egzamin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>
          <w:rFonts w:cs="Times New Roman" w:ascii="Times New Roman" w:hAnsi="Times New Roman"/>
        </w:rPr>
        <w:t>Obecność i aktywność na zajęciach. Zaliczenie pisemne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Forma aktywności studenta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0"/>
                <w:szCs w:val="18"/>
              </w:rPr>
            </w:r>
          </w:p>
        </w:tc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</w:rPr>
              <w:t>45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0"/>
                <w:szCs w:val="18"/>
              </w:rPr>
            </w:r>
          </w:p>
        </w:tc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</w:rPr>
              <w:t>75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1. A. Misiuk, </w:t>
            </w:r>
            <w:r>
              <w:rPr>
                <w:rFonts w:cs="Times New Roman" w:ascii="Times New Roman" w:hAnsi="Times New Roman"/>
                <w:i/>
                <w:kern w:val="0"/>
                <w:sz w:val="20"/>
              </w:rPr>
              <w:t>Administracja porządku i bezpieczeństwa publicznego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, Wydawnictwo Akademickie </w:t>
              <w:br/>
              <w:t>i Profesjonalne, Warszawa, 2008.</w:t>
              <w:br/>
              <w:t xml:space="preserve">2. J. Kaczmarek, </w:t>
            </w:r>
            <w:r>
              <w:rPr>
                <w:rFonts w:cs="Times New Roman" w:ascii="Times New Roman" w:hAnsi="Times New Roman"/>
                <w:i/>
                <w:kern w:val="0"/>
                <w:sz w:val="20"/>
              </w:rPr>
              <w:t>Współczesne bezpieczeństwo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>, AON, Warszawa, 2008.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3. J. Rajchel, E. Dubios,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Administracja wobec wyzwań bezpieczeństwa państwa i porządku publicznego,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Wydawnictwo Wyższej Szkoły Oficerskiej Sił Powietrznych,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Dęblin, 2016.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4. A. Warmiński,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Administracja bezpieczeństwa i porządku publicznego w Polsce,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Elipsa, Warszawa, 2013.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5. S. Piperzny,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Ochrona bezpieczeństwa i porządku publicznego w prawie administracyjny,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Wydawnictwo Uniwersytetu Rzeszowskiego, Rzeszów, 2007. 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br/>
              <w:t xml:space="preserve">6. </w:t>
            </w:r>
            <w:r>
              <w:rPr>
                <w:rFonts w:cs="Times New Roman" w:ascii="Times New Roman" w:hAnsi="Times New Roman"/>
                <w:i/>
                <w:kern w:val="0"/>
                <w:sz w:val="20"/>
              </w:rPr>
              <w:t>Zadania obronne samorządu terytorialnego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>, W. Kitler (red.), AON, Warszawa, 2009.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7.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Zagadnienia ogólne z zakresu zarządzania ryzykiem i zarządzania kryzysowego. Analiza wybranych przepisów,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D. Wróblewski (red.), Centrum Naukowo Badawcze Ochrony Przeciwpożarowej, Józefów 2014.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8. K. </w:t>
            </w:r>
            <w:bookmarkStart w:id="1" w:name="__DdeLink__970_365689996"/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Sienkiewicz-Małyjurek, F. R. Krynojewski,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>Zarządzanie kryzysowe w administracji public</w:t>
            </w:r>
            <w:bookmarkEnd w:id="1"/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>znej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, Wyd. 2, Difin, Warszawa 2016.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1. W. Kitler, </w:t>
            </w:r>
            <w:r>
              <w:rPr>
                <w:rFonts w:cs="Times New Roman" w:ascii="Times New Roman" w:hAnsi="Times New Roman"/>
                <w:i/>
                <w:kern w:val="0"/>
                <w:sz w:val="20"/>
              </w:rPr>
              <w:t>Samorząd terytorialny w obronie narodowej RP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>, AON, Warszawa, 2005.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2.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System bezpieczeństwa i porządku publicznego. Organy i inne podmioty administracji,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M. Zdyb, J. Stelmasiak, K. Sikora (red.), Wolters Kluwer, Warszawa,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3.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Praktyczne aspekty współdziałania terenowych organów administracji wojskowej i administracji publicznej w sytuacjach kryzysowych,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P. Polko, M Walancik, Wyższa Szkoła Biznesu w Dąbrowie Górniczej, Dąbrowa Górnicza,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 xml:space="preserve">4. K. Ficoń,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</w:rPr>
              <w:t xml:space="preserve">Logistyka kryzysowa. Procedury, potrzeby, potencjał, </w:t>
            </w: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</w:rPr>
              <w:t>BEL Studio, Warszawa 2011.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678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5c7722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142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5c772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CF0F-05DC-464F-A48B-D1DE2289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LibreOffice/7.2.6.2$Windows_X86_64 LibreOffice_project/b0ec3a565991f7569a5a7f5d24fed7f52653d754</Application>
  <AppVersion>15.0000</AppVersion>
  <Pages>4</Pages>
  <Words>583</Words>
  <Characters>4187</Characters>
  <CharactersWithSpaces>4630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2019-06-22T12:49:00Z</dcterms:created>
  <dc:creator>Anna Łukasiewicz</dc:creator>
  <dc:description/>
  <dc:language>pl-PL</dc:language>
  <cp:lastModifiedBy/>
  <cp:lastPrinted>2019-01-23T11:10:00Z</cp:lastPrinted>
  <dcterms:modified xsi:type="dcterms:W3CDTF">2022-11-23T13:52:55Z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