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</w:rPr>
      </w:pPr>
      <w:r>
        <w:rPr>
          <w:b/>
        </w:rPr>
        <w:t xml:space="preserve">KARTA PRZEDMIOTU 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rPr>
          <w:b/>
          <w:b/>
        </w:rPr>
      </w:pPr>
      <w:r>
        <w:rPr>
          <w:b/>
        </w:rPr>
        <w:t>Dane podstawowe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1"/>
        <w:gridCol w:w="4530"/>
      </w:tblGrid>
      <w:tr>
        <w:trPr/>
        <w:tc>
          <w:tcPr>
            <w:tcW w:w="45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Nazwa przedmiotu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Polityka bezpieczeństwa NATO</w:t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Nazwa przedmiotu w języku angielskim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NATO Security Policy</w:t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Kierunek studiów 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Bezpieczeństwo N</w:t>
            </w:r>
            <w:bookmarkStart w:id="0" w:name="_GoBack"/>
            <w:bookmarkEnd w:id="0"/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arodowe</w:t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Poziom studiów (I, II, jednolite magisterskie)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I</w:t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Forma studiów (stacjonarne, niestacjonarne)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Stacjonarne</w:t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Dyscyplina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Nauki o polityce i administracji</w:t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Język wykładowy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Język polski</w:t>
            </w:r>
          </w:p>
        </w:tc>
      </w:tr>
    </w:tbl>
    <w:p>
      <w:pPr>
        <w:pStyle w:val="Normal"/>
        <w:spacing w:before="0" w:after="0"/>
        <w:rPr/>
      </w:pPr>
      <w:r>
        <w:rPr/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42"/>
        <w:gridCol w:w="4519"/>
      </w:tblGrid>
      <w:tr>
        <w:trPr/>
        <w:tc>
          <w:tcPr>
            <w:tcW w:w="45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Koordynator przedmiotu/osoba odpowiedzialna</w:t>
            </w:r>
          </w:p>
        </w:tc>
        <w:tc>
          <w:tcPr>
            <w:tcW w:w="45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Dr Aneta Bąk-Pitucha</w:t>
            </w:r>
          </w:p>
        </w:tc>
      </w:tr>
    </w:tbl>
    <w:p>
      <w:pPr>
        <w:pStyle w:val="Normal"/>
        <w:spacing w:before="0" w:after="0"/>
        <w:rPr/>
      </w:pPr>
      <w:r>
        <w:rPr/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85"/>
        <w:gridCol w:w="2257"/>
        <w:gridCol w:w="2261"/>
        <w:gridCol w:w="2258"/>
      </w:tblGrid>
      <w:tr>
        <w:trPr/>
        <w:tc>
          <w:tcPr>
            <w:tcW w:w="22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Forma zajęć </w:t>
            </w:r>
            <w:r>
              <w:rPr>
                <w:rFonts w:eastAsia="Calibri" w:cs=""/>
                <w:i/>
                <w:kern w:val="0"/>
                <w:sz w:val="22"/>
                <w:szCs w:val="22"/>
                <w:lang w:val="pl-PL" w:eastAsia="en-US" w:bidi="ar-SA"/>
              </w:rPr>
              <w:t>(katalog zamknięty ze słownika)</w:t>
            </w:r>
          </w:p>
        </w:tc>
        <w:tc>
          <w:tcPr>
            <w:tcW w:w="22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Liczba godzin</w:t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semestr</w:t>
            </w:r>
          </w:p>
        </w:tc>
        <w:tc>
          <w:tcPr>
            <w:tcW w:w="22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Punkty ECTS</w:t>
            </w:r>
          </w:p>
        </w:tc>
      </w:tr>
      <w:tr>
        <w:trPr/>
        <w:tc>
          <w:tcPr>
            <w:tcW w:w="22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wykład</w:t>
            </w:r>
          </w:p>
        </w:tc>
        <w:tc>
          <w:tcPr>
            <w:tcW w:w="22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15</w:t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III</w:t>
            </w:r>
          </w:p>
        </w:tc>
        <w:tc>
          <w:tcPr>
            <w:tcW w:w="2258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3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22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konwersatorium</w:t>
            </w:r>
          </w:p>
        </w:tc>
        <w:tc>
          <w:tcPr>
            <w:tcW w:w="22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5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22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ćwiczenia</w:t>
            </w:r>
          </w:p>
        </w:tc>
        <w:tc>
          <w:tcPr>
            <w:tcW w:w="22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30</w:t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III</w:t>
            </w:r>
          </w:p>
        </w:tc>
        <w:tc>
          <w:tcPr>
            <w:tcW w:w="225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22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laboratorium</w:t>
            </w:r>
          </w:p>
        </w:tc>
        <w:tc>
          <w:tcPr>
            <w:tcW w:w="22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5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22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warsztaty</w:t>
            </w:r>
          </w:p>
        </w:tc>
        <w:tc>
          <w:tcPr>
            <w:tcW w:w="22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5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22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seminarium</w:t>
            </w:r>
          </w:p>
        </w:tc>
        <w:tc>
          <w:tcPr>
            <w:tcW w:w="22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5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22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proseminarium</w:t>
            </w:r>
          </w:p>
        </w:tc>
        <w:tc>
          <w:tcPr>
            <w:tcW w:w="22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5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22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lektorat</w:t>
            </w:r>
          </w:p>
        </w:tc>
        <w:tc>
          <w:tcPr>
            <w:tcW w:w="22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5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22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praktyki</w:t>
            </w:r>
          </w:p>
        </w:tc>
        <w:tc>
          <w:tcPr>
            <w:tcW w:w="22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5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22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zajęcia terenowe</w:t>
            </w:r>
          </w:p>
        </w:tc>
        <w:tc>
          <w:tcPr>
            <w:tcW w:w="22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5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22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pracownia dyplomowa</w:t>
            </w:r>
          </w:p>
        </w:tc>
        <w:tc>
          <w:tcPr>
            <w:tcW w:w="22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5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22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translatorium</w:t>
            </w:r>
          </w:p>
        </w:tc>
        <w:tc>
          <w:tcPr>
            <w:tcW w:w="22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5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22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wizyta studyjna</w:t>
            </w:r>
          </w:p>
        </w:tc>
        <w:tc>
          <w:tcPr>
            <w:tcW w:w="22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5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spacing w:before="0" w:after="0"/>
        <w:rPr/>
      </w:pPr>
      <w:r>
        <w:rPr/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11"/>
        <w:gridCol w:w="6850"/>
      </w:tblGrid>
      <w:tr>
        <w:trPr/>
        <w:tc>
          <w:tcPr>
            <w:tcW w:w="22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Wymagania wstępne</w:t>
            </w:r>
          </w:p>
        </w:tc>
        <w:tc>
          <w:tcPr>
            <w:tcW w:w="6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W1- znajomość zagadnień dotyczących bezpieczeństwa narodowego i międzynarodowego.</w:t>
            </w:r>
          </w:p>
        </w:tc>
      </w:tr>
    </w:tbl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ListParagraph"/>
        <w:numPr>
          <w:ilvl w:val="0"/>
          <w:numId w:val="1"/>
        </w:numPr>
        <w:rPr>
          <w:b/>
          <w:b/>
        </w:rPr>
      </w:pPr>
      <w:r>
        <w:rPr>
          <w:b/>
        </w:rPr>
        <w:t xml:space="preserve">Cele kształcenia dla przedmiotu 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C1 – zapoznanie studentów z funkcjonowaniem NATO jako sojuszu polityczno-wojskowego</w:t>
            </w:r>
          </w:p>
        </w:tc>
      </w:tr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C2 – poszerzenie wiedzy dotyczącej bezpieczeństwa międzynarodowego</w:t>
            </w:r>
          </w:p>
        </w:tc>
      </w:tr>
    </w:tbl>
    <w:p>
      <w:pPr>
        <w:pStyle w:val="Normal"/>
        <w:spacing w:before="0" w:after="0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spacing w:before="0" w:after="0"/>
        <w:rPr/>
      </w:pPr>
      <w:r>
        <w:rPr/>
      </w:r>
    </w:p>
    <w:p>
      <w:pPr>
        <w:pStyle w:val="ListParagraph"/>
        <w:numPr>
          <w:ilvl w:val="0"/>
          <w:numId w:val="1"/>
        </w:numPr>
        <w:rPr>
          <w:b/>
          <w:b/>
        </w:rPr>
      </w:pPr>
      <w:r>
        <w:rPr>
          <w:b/>
        </w:rPr>
        <w:t>Efekty uczenia się dla przedmiotu wraz z odniesieniem do efektów kierunkowych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94"/>
        <w:gridCol w:w="5830"/>
        <w:gridCol w:w="2138"/>
      </w:tblGrid>
      <w:tr>
        <w:trPr/>
        <w:tc>
          <w:tcPr>
            <w:tcW w:w="109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Symbol</w:t>
            </w:r>
          </w:p>
        </w:tc>
        <w:tc>
          <w:tcPr>
            <w:tcW w:w="58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Opis efektu przedmiotowego</w:t>
            </w:r>
          </w:p>
        </w:tc>
        <w:tc>
          <w:tcPr>
            <w:tcW w:w="213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Odniesienie do efektu kierunkowego</w:t>
            </w:r>
          </w:p>
        </w:tc>
      </w:tr>
      <w:tr>
        <w:trPr/>
        <w:tc>
          <w:tcPr>
            <w:tcW w:w="9062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WIEDZA</w:t>
            </w:r>
          </w:p>
        </w:tc>
      </w:tr>
      <w:tr>
        <w:trPr/>
        <w:tc>
          <w:tcPr>
            <w:tcW w:w="10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W_01</w:t>
            </w:r>
          </w:p>
        </w:tc>
        <w:tc>
          <w:tcPr>
            <w:tcW w:w="5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l-PL" w:eastAsia="en-US" w:bidi="ar-SA"/>
              </w:rPr>
              <w:t>Student rozumie istotę bezpieczeństwa narodowego i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l-PL" w:eastAsia="en-US" w:bidi="ar-SA"/>
              </w:rPr>
              <w:t>międzynarodowego</w:t>
            </w:r>
          </w:p>
        </w:tc>
        <w:tc>
          <w:tcPr>
            <w:tcW w:w="21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K_W02</w:t>
            </w:r>
          </w:p>
        </w:tc>
      </w:tr>
      <w:tr>
        <w:trPr/>
        <w:tc>
          <w:tcPr>
            <w:tcW w:w="10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W_02</w:t>
            </w:r>
          </w:p>
        </w:tc>
        <w:tc>
          <w:tcPr>
            <w:tcW w:w="5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l-PL" w:eastAsia="en-US" w:bidi="ar-SA"/>
              </w:rPr>
              <w:t>Student posiada podstawową wiedzę na temat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l-PL" w:eastAsia="en-US" w:bidi="ar-SA"/>
              </w:rPr>
              <w:t>bezpieczeństwa narodowego, globalnego, w tym systemów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l-PL" w:eastAsia="en-US" w:bidi="ar-SA"/>
              </w:rPr>
              <w:t>bezpieczeństwa wybranych państw</w:t>
            </w:r>
          </w:p>
        </w:tc>
        <w:tc>
          <w:tcPr>
            <w:tcW w:w="21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K_W08</w:t>
            </w:r>
          </w:p>
        </w:tc>
      </w:tr>
      <w:tr>
        <w:trPr/>
        <w:tc>
          <w:tcPr>
            <w:tcW w:w="9062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UMIEJĘTNOŚCI</w:t>
            </w:r>
          </w:p>
        </w:tc>
      </w:tr>
      <w:tr>
        <w:trPr/>
        <w:tc>
          <w:tcPr>
            <w:tcW w:w="10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U_01</w:t>
            </w:r>
          </w:p>
        </w:tc>
        <w:tc>
          <w:tcPr>
            <w:tcW w:w="5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l-PL" w:eastAsia="en-US" w:bidi="ar-SA"/>
              </w:rPr>
              <w:t>Student potrafi prawidłowo oceniać zagrożenia dla systemów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l-PL" w:eastAsia="en-US" w:bidi="ar-SA"/>
              </w:rPr>
              <w:t>bezpieczeństwa narodowego, a także identyfikować ich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l-PL" w:eastAsia="en-US" w:bidi="ar-SA"/>
              </w:rPr>
              <w:t>przyczyny</w:t>
            </w:r>
          </w:p>
        </w:tc>
        <w:tc>
          <w:tcPr>
            <w:tcW w:w="21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K_U06</w:t>
            </w:r>
          </w:p>
        </w:tc>
      </w:tr>
      <w:tr>
        <w:trPr/>
        <w:tc>
          <w:tcPr>
            <w:tcW w:w="10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U_02</w:t>
            </w:r>
          </w:p>
        </w:tc>
        <w:tc>
          <w:tcPr>
            <w:tcW w:w="5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l-PL" w:eastAsia="en-US" w:bidi="ar-SA"/>
              </w:rPr>
              <w:t>Student posiada umiejętność przygotowywania wystąpień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l-PL" w:eastAsia="en-US" w:bidi="ar-SA"/>
              </w:rPr>
              <w:t>ustnych i pisemnych dotyczących bezpieczeństwa narodowego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l-PL" w:eastAsia="en-US" w:bidi="ar-SA"/>
              </w:rPr>
              <w:t>z wykorzystaniem różnorodnych źródeł i literatury</w:t>
            </w:r>
          </w:p>
        </w:tc>
        <w:tc>
          <w:tcPr>
            <w:tcW w:w="21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K_U07</w:t>
            </w:r>
          </w:p>
        </w:tc>
      </w:tr>
      <w:tr>
        <w:trPr/>
        <w:tc>
          <w:tcPr>
            <w:tcW w:w="9062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KOMPETENCJE SPOŁECZNE</w:t>
            </w:r>
          </w:p>
        </w:tc>
      </w:tr>
      <w:tr>
        <w:trPr/>
        <w:tc>
          <w:tcPr>
            <w:tcW w:w="10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K_01</w:t>
            </w:r>
          </w:p>
        </w:tc>
        <w:tc>
          <w:tcPr>
            <w:tcW w:w="5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-</w:t>
            </w:r>
          </w:p>
        </w:tc>
        <w:tc>
          <w:tcPr>
            <w:tcW w:w="21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-</w:t>
            </w:r>
          </w:p>
        </w:tc>
      </w:tr>
    </w:tbl>
    <w:p>
      <w:pPr>
        <w:pStyle w:val="ListParagraph"/>
        <w:numPr>
          <w:ilvl w:val="0"/>
          <w:numId w:val="1"/>
        </w:numPr>
        <w:rPr>
          <w:b/>
          <w:b/>
        </w:rPr>
      </w:pPr>
      <w:r>
        <w:rPr/>
        <w:tab/>
        <w:tab/>
        <w:t xml:space="preserve"> </w:t>
      </w:r>
      <w:r>
        <w:rPr>
          <w:b/>
        </w:rPr>
        <w:t>Opis przedmiotu/ treści programowe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</w:tcPr>
          <w:p>
            <w:pPr>
              <w:pStyle w:val="Default"/>
              <w:widowControl/>
              <w:spacing w:lineRule="auto" w:line="36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pl-PL" w:eastAsia="en-US" w:bidi="ar-SA"/>
              </w:rPr>
              <w:t xml:space="preserve">1. Geneza i ewolucja NATO </w:t>
            </w:r>
          </w:p>
          <w:p>
            <w:pPr>
              <w:pStyle w:val="Default"/>
              <w:widowControl/>
              <w:spacing w:lineRule="auto" w:line="36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pl-PL" w:eastAsia="en-US" w:bidi="ar-SA"/>
              </w:rPr>
              <w:t>2. Ewolucja działań NATO w latach dziewięćdziesiątych</w:t>
            </w:r>
          </w:p>
          <w:p>
            <w:pPr>
              <w:pStyle w:val="Default"/>
              <w:widowControl/>
              <w:spacing w:lineRule="auto" w:line="36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pl-PL" w:eastAsia="en-US" w:bidi="ar-SA"/>
              </w:rPr>
              <w:t>3. Członkostwo w NATO</w:t>
            </w:r>
          </w:p>
          <w:p>
            <w:pPr>
              <w:pStyle w:val="Default"/>
              <w:widowControl/>
              <w:spacing w:lineRule="auto" w:line="36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pl-PL" w:eastAsia="en-US" w:bidi="ar-SA"/>
              </w:rPr>
              <w:t>4. Struktura organizacyjna NATO</w:t>
            </w:r>
          </w:p>
          <w:p>
            <w:pPr>
              <w:pStyle w:val="Default"/>
              <w:widowControl/>
              <w:spacing w:lineRule="auto" w:line="36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pl-PL" w:eastAsia="en-US" w:bidi="ar-SA"/>
              </w:rPr>
              <w:t xml:space="preserve">5. Koncepcja strategiczna NATO z 2010 r. </w:t>
            </w:r>
          </w:p>
          <w:p>
            <w:pPr>
              <w:pStyle w:val="Default"/>
              <w:widowControl/>
              <w:spacing w:lineRule="auto" w:line="36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pl-PL" w:eastAsia="en-US" w:bidi="ar-SA"/>
              </w:rPr>
              <w:t xml:space="preserve">6. NATO wobec wyzwań, szans i zagrożeń współczesności </w:t>
            </w:r>
          </w:p>
          <w:p>
            <w:pPr>
              <w:pStyle w:val="Default"/>
              <w:widowControl/>
              <w:spacing w:lineRule="auto" w:line="36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pl-PL" w:eastAsia="en-US" w:bidi="ar-SA"/>
              </w:rPr>
              <w:t xml:space="preserve">7. Zaangażowanie operacyjne NATO </w:t>
            </w:r>
          </w:p>
          <w:p>
            <w:pPr>
              <w:pStyle w:val="Default"/>
              <w:widowControl/>
              <w:spacing w:lineRule="auto" w:line="36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pl-PL" w:eastAsia="en-US" w:bidi="ar-SA"/>
              </w:rPr>
              <w:t xml:space="preserve">8. Współpraca NATO z państwami trzecimi </w:t>
            </w:r>
          </w:p>
          <w:p>
            <w:pPr>
              <w:pStyle w:val="Default"/>
              <w:widowControl/>
              <w:spacing w:lineRule="auto" w:line="36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pl-PL" w:eastAsia="en-US" w:bidi="ar-SA"/>
              </w:rPr>
              <w:t xml:space="preserve">9. Polityka bezpieczeństwa państw członkowskich NATO </w:t>
            </w:r>
          </w:p>
          <w:p>
            <w:pPr>
              <w:pStyle w:val="Default"/>
              <w:widowControl/>
              <w:spacing w:lineRule="auto" w:line="36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pl-PL" w:eastAsia="en-US" w:bidi="ar-SA"/>
              </w:rPr>
              <w:t xml:space="preserve">10. Polska w NATO </w:t>
            </w:r>
          </w:p>
        </w:tc>
      </w:tr>
    </w:tbl>
    <w:p>
      <w:pPr>
        <w:pStyle w:val="Normal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rPr>
          <w:b/>
          <w:b/>
        </w:rPr>
      </w:pPr>
      <w:r>
        <w:rPr>
          <w:b/>
        </w:rPr>
        <w:t>Metody realizacji i weryfikacji efektów uczenia się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65"/>
        <w:gridCol w:w="2265"/>
        <w:gridCol w:w="2266"/>
        <w:gridCol w:w="2265"/>
      </w:tblGrid>
      <w:tr>
        <w:trPr/>
        <w:tc>
          <w:tcPr>
            <w:tcW w:w="22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Symbol efektu</w:t>
            </w:r>
          </w:p>
        </w:tc>
        <w:tc>
          <w:tcPr>
            <w:tcW w:w="22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Metody dydaktyczne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i/>
                <w:kern w:val="0"/>
                <w:sz w:val="18"/>
                <w:szCs w:val="18"/>
                <w:lang w:val="pl-PL" w:eastAsia="en-US" w:bidi="ar-SA"/>
              </w:rPr>
              <w:t>(lista wyboru)</w:t>
            </w:r>
          </w:p>
        </w:tc>
        <w:tc>
          <w:tcPr>
            <w:tcW w:w="226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Metody weryfikacji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i/>
                <w:kern w:val="0"/>
                <w:sz w:val="18"/>
                <w:szCs w:val="18"/>
                <w:lang w:val="pl-PL" w:eastAsia="en-US" w:bidi="ar-SA"/>
              </w:rPr>
              <w:t>(lista wyboru)</w:t>
            </w:r>
          </w:p>
        </w:tc>
        <w:tc>
          <w:tcPr>
            <w:tcW w:w="226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Sposoby dokumentacji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i/>
                <w:kern w:val="0"/>
                <w:sz w:val="18"/>
                <w:szCs w:val="18"/>
                <w:lang w:val="pl-PL" w:eastAsia="en-US" w:bidi="ar-SA"/>
              </w:rPr>
              <w:t>(lista wyboru)</w:t>
            </w:r>
          </w:p>
        </w:tc>
      </w:tr>
      <w:tr>
        <w:trPr/>
        <w:tc>
          <w:tcPr>
            <w:tcW w:w="9061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WIEDZA</w:t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W_01</w:t>
            </w:r>
          </w:p>
        </w:tc>
        <w:tc>
          <w:tcPr>
            <w:tcW w:w="22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Studium przypadku,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dyskusja, udział w konferencjach naukowych</w:t>
            </w:r>
          </w:p>
        </w:tc>
        <w:tc>
          <w:tcPr>
            <w:tcW w:w="22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Egzamin/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obserwacja</w:t>
            </w:r>
          </w:p>
        </w:tc>
        <w:tc>
          <w:tcPr>
            <w:tcW w:w="22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Protokół</w:t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W_02</w:t>
            </w:r>
          </w:p>
        </w:tc>
        <w:tc>
          <w:tcPr>
            <w:tcW w:w="22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Studium przypadku,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dyskusja, udział w konferencjach naukowych</w:t>
            </w:r>
          </w:p>
        </w:tc>
        <w:tc>
          <w:tcPr>
            <w:tcW w:w="22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Egzamin/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obserwacja</w:t>
            </w:r>
          </w:p>
        </w:tc>
        <w:tc>
          <w:tcPr>
            <w:tcW w:w="22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Protokół</w:t>
            </w:r>
          </w:p>
        </w:tc>
      </w:tr>
      <w:tr>
        <w:trPr/>
        <w:tc>
          <w:tcPr>
            <w:tcW w:w="9061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UMIEJĘTNOŚCI</w:t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U_01</w:t>
            </w:r>
          </w:p>
        </w:tc>
        <w:tc>
          <w:tcPr>
            <w:tcW w:w="22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Studium przypadku,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Dyskusja</w:t>
            </w:r>
          </w:p>
        </w:tc>
        <w:tc>
          <w:tcPr>
            <w:tcW w:w="22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Prezentacja/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obserwacja</w:t>
            </w:r>
          </w:p>
        </w:tc>
        <w:tc>
          <w:tcPr>
            <w:tcW w:w="22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Protokół</w:t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U_02</w:t>
            </w:r>
          </w:p>
        </w:tc>
        <w:tc>
          <w:tcPr>
            <w:tcW w:w="22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Studium przypadku,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Dyskusja</w:t>
            </w:r>
          </w:p>
        </w:tc>
        <w:tc>
          <w:tcPr>
            <w:tcW w:w="22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Prezentacja/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obserwacja</w:t>
            </w:r>
          </w:p>
        </w:tc>
        <w:tc>
          <w:tcPr>
            <w:tcW w:w="22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Protokół</w:t>
            </w:r>
          </w:p>
        </w:tc>
      </w:tr>
      <w:tr>
        <w:trPr/>
        <w:tc>
          <w:tcPr>
            <w:tcW w:w="9061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KOMPETENCJE SPOŁECZNE</w:t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K_01</w:t>
            </w:r>
          </w:p>
        </w:tc>
        <w:tc>
          <w:tcPr>
            <w:tcW w:w="22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-</w:t>
            </w:r>
          </w:p>
        </w:tc>
        <w:tc>
          <w:tcPr>
            <w:tcW w:w="22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-</w:t>
            </w:r>
          </w:p>
        </w:tc>
        <w:tc>
          <w:tcPr>
            <w:tcW w:w="22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-</w:t>
            </w:r>
          </w:p>
        </w:tc>
      </w:tr>
    </w:tbl>
    <w:p>
      <w:pPr>
        <w:pStyle w:val="Normal"/>
        <w:spacing w:before="0" w:after="0"/>
        <w:rPr/>
      </w:pPr>
      <w:r>
        <w:rPr/>
      </w:r>
    </w:p>
    <w:p>
      <w:pPr>
        <w:pStyle w:val="ListParagraph"/>
        <w:ind w:left="1080" w:hanging="0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rPr>
          <w:b/>
          <w:b/>
        </w:rPr>
      </w:pPr>
      <w:r>
        <w:rPr>
          <w:b/>
        </w:rPr>
        <w:t>Kryteria oceny, wagi…</w:t>
      </w:r>
    </w:p>
    <w:p>
      <w:pPr>
        <w:pStyle w:val="Normal"/>
        <w:rPr/>
      </w:pPr>
      <w:r>
        <w:rPr/>
        <w:t>Wykład – egzamin ustny</w:t>
      </w:r>
    </w:p>
    <w:p>
      <w:pPr>
        <w:pStyle w:val="Normal"/>
        <w:rPr/>
      </w:pPr>
      <w:r>
        <w:rPr/>
        <w:t>Ćwiczenia - ocena w oparciu o aktywność na zajęciach frekwencję i przygotowanie prezentacji multimedialnej oraz uczestnictwo w konferencjach naukowych.</w:t>
      </w:r>
    </w:p>
    <w:p>
      <w:pPr>
        <w:pStyle w:val="Normal"/>
        <w:rPr>
          <w:b/>
          <w:b/>
        </w:rPr>
      </w:pPr>
      <w:r>
        <w:rPr>
          <w:b/>
        </w:rPr>
      </w:r>
      <w:r>
        <w:br w:type="page"/>
      </w:r>
    </w:p>
    <w:p>
      <w:pPr>
        <w:pStyle w:val="ListParagraph"/>
        <w:numPr>
          <w:ilvl w:val="0"/>
          <w:numId w:val="1"/>
        </w:numPr>
        <w:rPr>
          <w:b/>
          <w:b/>
        </w:rPr>
      </w:pPr>
      <w:r>
        <w:rPr>
          <w:b/>
        </w:rPr>
        <w:t>Obciążenie pracą studenta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8"/>
        <w:gridCol w:w="4523"/>
      </w:tblGrid>
      <w:tr>
        <w:trPr/>
        <w:tc>
          <w:tcPr>
            <w:tcW w:w="45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Forma aktywności studenta</w:t>
            </w:r>
          </w:p>
        </w:tc>
        <w:tc>
          <w:tcPr>
            <w:tcW w:w="45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Liczba godzin</w:t>
            </w:r>
          </w:p>
        </w:tc>
      </w:tr>
      <w:tr>
        <w:trPr/>
        <w:tc>
          <w:tcPr>
            <w:tcW w:w="45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Liczba godzin kontaktowych z nauczycielem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sz w:val="18"/>
                <w:szCs w:val="18"/>
              </w:rPr>
            </w:pPr>
            <w:r>
              <w:rPr>
                <w:rFonts w:eastAsia="Calibri" w:cs=""/>
                <w:i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5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45</w:t>
            </w:r>
          </w:p>
        </w:tc>
      </w:tr>
      <w:tr>
        <w:trPr/>
        <w:tc>
          <w:tcPr>
            <w:tcW w:w="45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Liczba godzin indywidualnej pracy studenta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sz w:val="18"/>
                <w:szCs w:val="18"/>
              </w:rPr>
            </w:pPr>
            <w:r>
              <w:rPr>
                <w:rFonts w:eastAsia="Calibri" w:cs=""/>
                <w:i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5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45</w:t>
            </w:r>
          </w:p>
        </w:tc>
      </w:tr>
    </w:tbl>
    <w:p>
      <w:pPr>
        <w:pStyle w:val="Normal"/>
        <w:spacing w:before="0" w:after="0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rPr>
          <w:b/>
          <w:b/>
        </w:rPr>
      </w:pPr>
      <w:r>
        <w:rPr>
          <w:b/>
        </w:rPr>
        <w:t>Literatura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Literatura podstawowa</w:t>
            </w:r>
          </w:p>
        </w:tc>
      </w:tr>
      <w:tr>
        <w:trPr/>
        <w:tc>
          <w:tcPr>
            <w:tcW w:w="9062" w:type="dxa"/>
            <w:tcBorders/>
          </w:tcPr>
          <w:p>
            <w:pPr>
              <w:pStyle w:val="Default"/>
              <w:widowControl/>
              <w:spacing w:lineRule="auto" w:line="36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pl-PL" w:eastAsia="en-US" w:bidi="ar-SA"/>
              </w:rPr>
              <w:t xml:space="preserve">1. Czulda R., Łoś R., Regina-Zacharski J. (red.), </w:t>
            </w:r>
            <w:r>
              <w:rPr>
                <w:rFonts w:eastAsia="Calibri" w:cs="Times New Roman" w:ascii="Times New Roman" w:hAnsi="Times New Roman"/>
                <w:i/>
                <w:kern w:val="0"/>
                <w:lang w:val="pl-PL" w:eastAsia="en-US" w:bidi="ar-SA"/>
              </w:rPr>
              <w:t>NATO wobec wyzwań współczesnego świata</w:t>
            </w:r>
            <w:r>
              <w:rPr>
                <w:rFonts w:eastAsia="Calibri" w:cs="Times New Roman" w:ascii="Times New Roman" w:hAnsi="Times New Roman"/>
                <w:kern w:val="0"/>
                <w:lang w:val="pl-PL" w:eastAsia="en-US" w:bidi="ar-SA"/>
              </w:rPr>
              <w:t>, Łódź 2013.</w:t>
            </w:r>
          </w:p>
          <w:p>
            <w:pPr>
              <w:pStyle w:val="Default"/>
              <w:widowControl/>
              <w:spacing w:lineRule="auto" w:line="36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pl-PL" w:eastAsia="en-US" w:bidi="ar-SA"/>
              </w:rPr>
              <w:t xml:space="preserve">2. Pietraś M., Olchowski J. (red.), </w:t>
            </w:r>
            <w:r>
              <w:rPr>
                <w:rFonts w:eastAsia="Calibri" w:cs="Times New Roman" w:ascii="Times New Roman" w:hAnsi="Times New Roman"/>
                <w:i/>
                <w:kern w:val="0"/>
                <w:lang w:val="pl-PL" w:eastAsia="en-US" w:bidi="ar-SA"/>
              </w:rPr>
              <w:t>NATO w pozimnowojennym środowisku (nie) bezpieczeństwa</w:t>
            </w:r>
            <w:r>
              <w:rPr>
                <w:rFonts w:eastAsia="Calibri" w:cs="Times New Roman" w:ascii="Times New Roman" w:hAnsi="Times New Roman"/>
                <w:kern w:val="0"/>
                <w:lang w:val="pl-PL" w:eastAsia="en-US" w:bidi="ar-SA"/>
              </w:rPr>
              <w:t xml:space="preserve">, Lublin 2011. </w:t>
            </w:r>
          </w:p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 xml:space="preserve">3. Podraza A., 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pl-PL" w:eastAsia="en-US" w:bidi="ar-SA"/>
              </w:rPr>
              <w:t>Integracja europejska a redefinicja polityki zagranicznej Stanów Zjednoczonych: przyczyny zainicjowania i rozwój transatlantyckich stosunków bezpieczeństwa w latach 1945–1948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 xml:space="preserve">, „Rocznik Integracji Europejskiej”, tom 10, 2016, s. 255-274. </w:t>
            </w:r>
          </w:p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 xml:space="preserve">4. Podraza A., 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pl-PL" w:eastAsia="en-US" w:bidi="ar-SA"/>
              </w:rPr>
              <w:t>Początki transatlantyckiego partnerstwa bezpieczeństwa: wybuch zimnej wojny i powstanie Sojuszu Atlantyckiego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, „Myśl Ekonomiczna i Polityczna”, nr 2 (65), 2019, s. 65-101.</w:t>
            </w:r>
          </w:p>
          <w:p>
            <w:pPr>
              <w:pStyle w:val="Default"/>
              <w:widowControl/>
              <w:spacing w:lineRule="auto" w:line="36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pl-PL" w:eastAsia="en-US" w:bidi="ar-SA"/>
              </w:rPr>
              <w:t xml:space="preserve">5. Kupiecki R., </w:t>
            </w:r>
            <w:r>
              <w:rPr>
                <w:rFonts w:eastAsia="Calibri" w:cs="Times New Roman" w:ascii="Times New Roman" w:hAnsi="Times New Roman"/>
                <w:i/>
                <w:kern w:val="0"/>
                <w:lang w:val="pl-PL" w:eastAsia="en-US" w:bidi="ar-SA"/>
              </w:rPr>
              <w:t>Siła i solidarność: strategia NATO 1949–1989</w:t>
            </w:r>
            <w:r>
              <w:rPr>
                <w:rFonts w:eastAsia="Calibri" w:cs="Times New Roman" w:ascii="Times New Roman" w:hAnsi="Times New Roman"/>
                <w:kern w:val="0"/>
                <w:lang w:val="pl-PL" w:eastAsia="en-US" w:bidi="ar-SA"/>
              </w:rPr>
              <w:t xml:space="preserve">, Warszawa 2012. </w:t>
            </w:r>
          </w:p>
          <w:p>
            <w:pPr>
              <w:pStyle w:val="Default"/>
              <w:widowControl/>
              <w:spacing w:lineRule="auto" w:line="36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pl-PL" w:eastAsia="en-US" w:bidi="ar-SA"/>
              </w:rPr>
              <w:t xml:space="preserve">6. Zięba R. (red.), </w:t>
            </w:r>
            <w:r>
              <w:rPr>
                <w:rFonts w:eastAsia="Calibri" w:cs="Times New Roman" w:ascii="Times New Roman" w:hAnsi="Times New Roman"/>
                <w:i/>
                <w:kern w:val="0"/>
                <w:lang w:val="pl-PL" w:eastAsia="en-US" w:bidi="ar-SA"/>
              </w:rPr>
              <w:t>Bezpieczeństwo międzynarodowe w XXI wieku</w:t>
            </w:r>
            <w:r>
              <w:rPr>
                <w:rFonts w:eastAsia="Calibri" w:cs="Times New Roman" w:ascii="Times New Roman" w:hAnsi="Times New Roman"/>
                <w:kern w:val="0"/>
                <w:lang w:val="pl-PL" w:eastAsia="en-US" w:bidi="ar-SA"/>
              </w:rPr>
              <w:t xml:space="preserve">, Warszawa 2018. </w:t>
            </w:r>
          </w:p>
          <w:p>
            <w:pPr>
              <w:pStyle w:val="Default"/>
              <w:widowControl/>
              <w:spacing w:lineRule="auto" w:line="36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pl-PL" w:eastAsia="en-US" w:bidi="ar-SA"/>
              </w:rPr>
              <w:t xml:space="preserve">7. Zięba R., </w:t>
            </w:r>
            <w:r>
              <w:rPr>
                <w:rFonts w:eastAsia="Calibri" w:cs="Times New Roman" w:ascii="Times New Roman" w:hAnsi="Times New Roman"/>
                <w:i/>
                <w:kern w:val="0"/>
                <w:lang w:val="pl-PL" w:eastAsia="en-US" w:bidi="ar-SA"/>
              </w:rPr>
              <w:t>Bezpieczeństwo państw zrzeszonych w NATO i Unii Europejskiej</w:t>
            </w:r>
            <w:r>
              <w:rPr>
                <w:rFonts w:eastAsia="Calibri" w:cs="Times New Roman" w:ascii="Times New Roman" w:hAnsi="Times New Roman"/>
                <w:kern w:val="0"/>
                <w:lang w:val="pl-PL" w:eastAsia="en-US" w:bidi="ar-SA"/>
              </w:rPr>
              <w:t>, Warszawa 2008.</w:t>
            </w:r>
          </w:p>
          <w:p>
            <w:pPr>
              <w:pStyle w:val="Default"/>
              <w:widowControl/>
              <w:spacing w:lineRule="auto" w:line="36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lang w:val="pl-PL" w:eastAsia="en-US" w:bidi="ar-SA"/>
              </w:rPr>
              <w:t>8. Właściwe akty prawne</w:t>
            </w:r>
          </w:p>
        </w:tc>
      </w:tr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Literatura uzupełniająca</w:t>
            </w:r>
          </w:p>
        </w:tc>
      </w:tr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1. Podraza A., 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en-US" w:eastAsia="en-US" w:bidi="ar-SA"/>
              </w:rPr>
              <w:t>The decline of the United States and the survival of NATO in the post-Cold War period – a theoretical discussion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, w: A. Podraza (red.), </w:t>
            </w:r>
            <w:r>
              <w:rPr>
                <w:rFonts w:eastAsia="Calibri" w:cs="Times New Roman" w:ascii="Times New Roman" w:hAnsi="Times New Roman"/>
                <w:bCs/>
                <w:i/>
                <w:kern w:val="0"/>
                <w:sz w:val="24"/>
                <w:szCs w:val="24"/>
                <w:lang w:val="en-US" w:eastAsia="en-US" w:bidi="ar-SA"/>
              </w:rPr>
              <w:t>Transatlantic or European perspective of world affairs: NATO and the European Union towards problems of international security in the 21st century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en-US" w:eastAsia="en-US" w:bidi="ar-SA"/>
              </w:rPr>
              <w:t>, Universidad de Alcala, Alcala de Henares – Madrid 2018, s. 13-36.</w:t>
            </w:r>
          </w:p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 xml:space="preserve">2. Zięba R., 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pl-PL" w:eastAsia="en-US" w:bidi="ar-SA"/>
              </w:rPr>
              <w:t>Instytucjonalizacja bezpieczeństwa europejskiego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, Warszawa 2004.</w:t>
            </w:r>
          </w:p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 xml:space="preserve">3. Zięba R., 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pl-PL" w:eastAsia="en-US" w:bidi="ar-SA"/>
              </w:rPr>
              <w:t>Bezpieczeństwo międzynarodowe po zimnej wojnie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, Warszawa 2008.</w:t>
            </w:r>
          </w:p>
        </w:tc>
      </w:tr>
    </w:tbl>
    <w:p>
      <w:pPr>
        <w:pStyle w:val="Normal"/>
        <w:spacing w:before="0" w:after="0"/>
        <w:rPr>
          <w:b/>
          <w:b/>
        </w:rPr>
      </w:pPr>
      <w:r>
        <w:rPr>
          <w:b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1417" w:right="1417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jc w:val="right"/>
      <w:rPr>
        <w:i/>
        <w:i/>
      </w:rPr>
    </w:pPr>
    <w:r>
      <w:rPr>
        <w:i/>
      </w:rPr>
      <w:t>Załącznik nr 5 do dokumentacji programowej</w:t>
    </w:r>
  </w:p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atory" w:customStyle="1">
    <w:name w:val="tabulatory"/>
    <w:basedOn w:val="DefaultParagraphFont"/>
    <w:qFormat/>
    <w:rsid w:val="00d406f6"/>
    <w:rPr/>
  </w:style>
  <w:style w:type="character" w:styleId="Czeinternetowe">
    <w:name w:val="Łącze internetowe"/>
    <w:basedOn w:val="DefaultParagraphFont"/>
    <w:uiPriority w:val="99"/>
    <w:unhideWhenUsed/>
    <w:rsid w:val="00d406f6"/>
    <w:rPr>
      <w:color w:val="0000FF"/>
      <w:u w:val="single"/>
    </w:rPr>
  </w:style>
  <w:style w:type="character" w:styleId="Access" w:customStyle="1">
    <w:name w:val="access"/>
    <w:basedOn w:val="DefaultParagraphFont"/>
    <w:qFormat/>
    <w:rsid w:val="003c65da"/>
    <w:rPr/>
  </w:style>
  <w:style w:type="character" w:styleId="Luchili" w:customStyle="1">
    <w:name w:val="luc_hili"/>
    <w:basedOn w:val="DefaultParagraphFont"/>
    <w:qFormat/>
    <w:rsid w:val="001a5d37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b04272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b04272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b04272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Western" w:customStyle="1">
    <w:name w:val="western"/>
    <w:basedOn w:val="Normal"/>
    <w:qFormat/>
    <w:rsid w:val="007d0038"/>
    <w:pPr>
      <w:spacing w:lineRule="atLeast" w:line="102" w:beforeAutospacing="1" w:after="119"/>
    </w:pPr>
    <w:rPr>
      <w:rFonts w:ascii="Times New Roman" w:hAnsi="Times New Roman" w:eastAsia="Times New Roman" w:cs="Times New Roman"/>
      <w:color w:val="000000"/>
      <w:sz w:val="24"/>
      <w:szCs w:val="24"/>
      <w:lang w:eastAsia="pl-PL"/>
    </w:rPr>
  </w:style>
  <w:style w:type="paragraph" w:styleId="ListParagraph">
    <w:name w:val="List Paragraph"/>
    <w:basedOn w:val="Normal"/>
    <w:uiPriority w:val="34"/>
    <w:qFormat/>
    <w:rsid w:val="007d0038"/>
    <w:pPr>
      <w:spacing w:before="0" w:after="200"/>
      <w:ind w:left="720" w:hanging="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d27ddc"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Default" w:customStyle="1">
    <w:name w:val="Default"/>
    <w:qFormat/>
    <w:rsid w:val="007841b3"/>
    <w:pPr>
      <w:widowControl/>
      <w:bidi w:val="0"/>
      <w:spacing w:lineRule="auto" w:line="240" w:before="0" w:after="0"/>
      <w:jc w:val="left"/>
    </w:pPr>
    <w:rPr>
      <w:rFonts w:ascii="Arial" w:hAnsi="Arial" w:cs="Arial" w:eastAsia="Calibri"/>
      <w:color w:val="000000"/>
      <w:kern w:val="0"/>
      <w:sz w:val="24"/>
      <w:szCs w:val="24"/>
      <w:lang w:val="pl-PL" w:eastAsia="en-US" w:bidi="ar-SA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b0427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b0427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b0427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732e4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B1CB2-36C9-4A8C-B929-0BB8AE5C5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LibreOffice/7.2.6.2$Windows_X86_64 LibreOffice_project/b0ec3a565991f7569a5a7f5d24fed7f52653d754</Application>
  <AppVersion>15.0000</AppVersion>
  <Pages>4</Pages>
  <Words>583</Words>
  <Characters>3977</Characters>
  <CharactersWithSpaces>4424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2022-12-08T20:25:00Z</dcterms:created>
  <dc:creator>Anna Łukasiewicz</dc:creator>
  <dc:description/>
  <dc:language>pl-PL</dc:language>
  <cp:lastModifiedBy/>
  <cp:lastPrinted>2019-01-23T11:10:00Z</cp:lastPrinted>
  <dcterms:modified xsi:type="dcterms:W3CDTF">2022-12-22T11:52:45Z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