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KARTA PRZEDMIOTU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Cykl kształcenia od roku akademickiego: 2022/2023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Dane podstawowe</w:t>
      </w:r>
    </w:p>
    <w:p>
      <w:pPr>
        <w:pStyle w:val="ListParagraph"/>
        <w:ind w:left="108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Przemyt ludzi i towarów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Smuggling of people and goods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Bezpieczeństwo 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Nauki o polityce i administracji, nauki prawne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0"/>
        <w:gridCol w:w="4521"/>
      </w:tblGrid>
      <w:tr>
        <w:trPr/>
        <w:tc>
          <w:tcPr>
            <w:tcW w:w="4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Autospacing="1"/>
              <w:ind w:left="0" w:hanging="0"/>
              <w:jc w:val="left"/>
              <w:outlineLvl w:val="1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dr Anna Szachoń-Pszenny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7"/>
        <w:gridCol w:w="2256"/>
        <w:gridCol w:w="2260"/>
        <w:gridCol w:w="2258"/>
      </w:tblGrid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Forma zajęć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(katalog zamknięty ze słownika)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</w:t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wykład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15</w:t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</w:t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konwersatorium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ćwiczenia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30</w:t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laboratorium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warsztaty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proseminarium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lektorat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praktyki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zajęcia terenowe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pracownia dyplomowa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translatorium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wizyta studyjna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tbl>
            <w:tblPr>
              <w:tblW w:w="4658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4658"/>
            </w:tblGrid>
            <w:tr>
              <w:trPr/>
              <w:tc>
                <w:tcPr>
                  <w:tcW w:w="4658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/>
              <w:tc>
                <w:tcPr>
                  <w:tcW w:w="4658" w:type="dxa"/>
                  <w:tcBorders/>
                  <w:vAlign w:val="center"/>
                </w:tcPr>
                <w:tbl>
                  <w:tblPr>
                    <w:tblW w:w="4628" w:type="dxa"/>
                    <w:jc w:val="left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4628"/>
                  </w:tblGrid>
                  <w:tr>
                    <w:trPr/>
                    <w:tc>
                      <w:tcPr>
                        <w:tcW w:w="4628" w:type="dxa"/>
                        <w:tcBorders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lineRule="auto" w:line="240" w:before="0" w:after="0"/>
                          <w:jc w:val="both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4"/>
                            <w:szCs w:val="24"/>
                            <w:lang w:eastAsia="pl-PL"/>
                          </w:rPr>
                          <w:t>Podstawowa wiedza z zakresu bezpieczeństwa.</w:t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C1 wprowadzenie do ogólnej wiedzy na temat przemytu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C2 omówienie praktycznych zasad ruchu osobowego i towarowego na granicach UE </w:t>
              <w:br/>
              <w:t>i analiza tekstów w tym obszarze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C3 rozwijanie umiejętności wykorzystywania zdobytej wiedzy w praktyce, klasyfikacja i przykłady nielegalnego przemieszczania się osób i towarów.</w:t>
            </w:r>
          </w:p>
        </w:tc>
      </w:tr>
    </w:tbl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4"/>
        <w:gridCol w:w="5829"/>
        <w:gridCol w:w="2139"/>
      </w:tblGrid>
      <w:tr>
        <w:trPr/>
        <w:tc>
          <w:tcPr>
            <w:tcW w:w="10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Symbol</w:t>
            </w:r>
          </w:p>
        </w:tc>
        <w:tc>
          <w:tcPr>
            <w:tcW w:w="58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Opis efektu przedmiotowego</w:t>
            </w:r>
          </w:p>
        </w:tc>
        <w:tc>
          <w:tcPr>
            <w:tcW w:w="21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W_01</w:t>
            </w:r>
          </w:p>
        </w:tc>
        <w:tc>
          <w:tcPr>
            <w:tcW w:w="5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5"/>
                <w:szCs w:val="25"/>
              </w:rPr>
            </w:pP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Absolwent rozumie istotę przemytu oraz jego zagrożenia dla bezpieczeństwa </w:t>
            </w:r>
            <w:r>
              <w:rPr>
                <w:rStyle w:val="Markedcontent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zarówno w skali społecznej,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br/>
            </w:r>
            <w:r>
              <w:rPr>
                <w:rStyle w:val="Markedcontent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ogólnopaństwowej, jak i międzynarodowej</w:t>
            </w:r>
          </w:p>
        </w:tc>
        <w:tc>
          <w:tcPr>
            <w:tcW w:w="2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K_W02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W_02</w:t>
            </w:r>
          </w:p>
        </w:tc>
        <w:tc>
          <w:tcPr>
            <w:tcW w:w="5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Absolwent posiada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wiedzę dotyczącą dziedziny nauk społecznych, w tym odnoszącą się do prowadzenia badań nad bezpieczeństwem ruchu osobowego i towarowego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granic wewnętrznych i zewnętrznych Unii Europejskiej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przy pomocy odpowiednich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metod</w:t>
            </w:r>
          </w:p>
        </w:tc>
        <w:tc>
          <w:tcPr>
            <w:tcW w:w="2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K_W03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U_01</w:t>
            </w:r>
          </w:p>
        </w:tc>
        <w:tc>
          <w:tcPr>
            <w:tcW w:w="5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Absolwent potrafi wykorzystywać zdobytą wiedzę teoretyczną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 analizowania, diagnozowania, wyjaśniania oraz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prognozowania kwestii szczegółowych odnoszących się problematyki przemytu ludzi i towarów</w:t>
            </w:r>
          </w:p>
        </w:tc>
        <w:tc>
          <w:tcPr>
            <w:tcW w:w="2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K_U01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U_02</w:t>
            </w:r>
          </w:p>
        </w:tc>
        <w:tc>
          <w:tcPr>
            <w:tcW w:w="5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Absolwent potrafi oceniać zagrożenia i ich przyczyny oraz budować strategie działań dotyczących przeciwdziałania przemytowi na poziomie krajowym i unijnym </w:t>
            </w:r>
          </w:p>
        </w:tc>
        <w:tc>
          <w:tcPr>
            <w:tcW w:w="2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K_U02; K_05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U_03</w:t>
            </w:r>
          </w:p>
        </w:tc>
        <w:tc>
          <w:tcPr>
            <w:tcW w:w="5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Absolwent jest w stanie rozwiązywać konkretne problemy związane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 przemytem, prognozować działania oraz przewidywać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skutki tych że działań, wykorzystując przy tym nabytą wiedzę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teoretyczną</w:t>
            </w:r>
          </w:p>
        </w:tc>
        <w:tc>
          <w:tcPr>
            <w:tcW w:w="2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K_U03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U_04</w:t>
            </w:r>
          </w:p>
        </w:tc>
        <w:tc>
          <w:tcPr>
            <w:tcW w:w="5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Absolwent umie planować, organizować pracę zespołu i współpracować w grupie</w:t>
            </w:r>
          </w:p>
        </w:tc>
        <w:tc>
          <w:tcPr>
            <w:tcW w:w="2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K_U08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K_01</w:t>
            </w:r>
          </w:p>
        </w:tc>
        <w:tc>
          <w:tcPr>
            <w:tcW w:w="58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Absolwent jest gotowy do </w:t>
            </w:r>
            <w:r>
              <w:rPr>
                <w:rStyle w:val="Markedcontent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myślenia oraz działania w sposób prospołeczny w identyfikowaniu zagrożeń w przemycie osób i towarów</w:t>
            </w:r>
          </w:p>
        </w:tc>
        <w:tc>
          <w:tcPr>
            <w:tcW w:w="21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K_K02</w:t>
            </w:r>
          </w:p>
        </w:tc>
      </w:tr>
    </w:tbl>
    <w:p>
      <w:pPr>
        <w:pStyle w:val="ListParagraph"/>
        <w:ind w:left="108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>
          <w:trHeight w:val="1417" w:hRule="atLeast"/>
        </w:trPr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1) Problem przemytu w UE i na świecie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2) Rozróżnienie granicznego ruchu osobowego i towarowego</w:t>
              <w:br/>
              <w:t>3) Nielegalne przekroczenie granicy – wykroczenia i przestępstwa w zakresie przekraczania granic (KW i KK)</w:t>
              <w:br/>
              <w:t>4) Przemyt celny</w:t>
              <w:br/>
              <w:t>5) Przepływ osób przez granice wewnętrzne i zewnętrzne UE/Schengen – zasady i ograniczenia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6) Przepływ towarów przez granice wewnętrzne i zewnętrzne UE/Schengen- zasady i ograniczenia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7) Nielegalna migracja- szczyt kryzysu migracyjnego i aktualne problemy migracyjne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8) Handel ludźmi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9) Zadania administracji granicznej i celnej w wykrywaniu przemytu </w:t>
              <w:br/>
              <w:t xml:space="preserve">10) Warunki i limity przewozu towarów </w:t>
              <w:br/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11) Fałszerstwa dokumentów uprawniających do przekroczenia granicy</w:t>
              <w:br/>
              <w:t>państwowej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12) Przemytnicy i metody przemytu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MinionPro-Regular" w:hAnsi="MinionPro-Regular"/>
                <w:color w:val="FF000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13) Przykłady przemytu na granicach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Metody realizacji i weryfikacji efektów uczenia się</w:t>
      </w:r>
    </w:p>
    <w:tbl>
      <w:tblPr>
        <w:tblW w:w="921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2"/>
        <w:gridCol w:w="2691"/>
        <w:gridCol w:w="2835"/>
        <w:gridCol w:w="2581"/>
      </w:tblGrid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Symbol efektu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Metody dydaktyczne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(lista wyboru)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Metody weryfikacji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(lista wyboru)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Sposoby dokumentacji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(lista wyboru)</w:t>
            </w:r>
          </w:p>
        </w:tc>
      </w:tr>
      <w:tr>
        <w:trPr/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WIEDZA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W_01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Wykład konwencjonalny, konwersatoryjny, problemowy, udział w konferencjach naukowych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pisemne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Protokół, 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pisemny 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W_02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Wykład konwencjonalny, konwersatoryjny, problemowy, udział w konferencjach naukowych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pisemne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Protokół, 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</w:t>
            </w:r>
          </w:p>
        </w:tc>
      </w:tr>
      <w:tr>
        <w:trPr/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UMIEJĘTNOŚCI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U_01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Dyskusja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pisemne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Protokół, 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U_02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Dyskusja,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Burza mózgów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/Zaliczenie pisemne, Wykonanie projektu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Protokół, 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pisemny, Raport z obserwacji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U_03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Dyskusja,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Burza mózgów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/Zaliczenie pisemne, Wykonanie projektu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Protokół, 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pisemny, Raport z obserwacji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_04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Praca w grupach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Referat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Protokół,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Karta oceny pracy w grupie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KOMPETENCJE SPOŁECZNE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K_01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Metoda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Prezentacja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Protokół,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Karta oceny prezentacji</w:t>
            </w:r>
          </w:p>
        </w:tc>
      </w:tr>
    </w:tbl>
    <w:p>
      <w:pPr>
        <w:pStyle w:val="ListParagraph"/>
        <w:ind w:left="108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Kryteria oceny, uwagi…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Ocena końcowa składa się z 2 komponentów/elementów: ocena z testu pisemnego (80%) oraz aktywność, praca w grupach i obecności (20%). Wartością dodaną oceny będzie również wykonanie i przedstawienie prezentacji.</w:t>
        <w:br/>
        <w:t xml:space="preserve">ocena 3,0 (45%) </w:t>
        <w:br/>
        <w:t xml:space="preserve">ocena 3,5 (55%) </w:t>
        <w:br/>
        <w:t xml:space="preserve">ocena 4,0 (65%) </w:t>
        <w:br/>
        <w:t xml:space="preserve">ocena 4,5 (75 %) </w:t>
        <w:br/>
        <w:t>ocena 5,0 (85%)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9"/>
        <w:gridCol w:w="4522"/>
      </w:tblGrid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Forma aktywności studenta</w:t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15 + 30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45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OBOWIĄZKOWE AKTY PRAWNE:</w:t>
              <w:br/>
              <w:t>1.Traktat o funkcjonowaniu Unii Europejskiej (TFUE)</w:t>
              <w:br/>
              <w:t>2. Traktat o Unii Europejskiej (TUE)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3.KK i KW w zakresie nielegalnego przekroczenia granicy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4. KKS w zakresie przemytu celnego</w:t>
              <w:br/>
              <w:t>3. Rozporządzenie Parlamentu Europejskiego i Rady (UE) 2016/399 z dnia 9 marca 2016 r. w sprawie unijnego kodeksu zasad regulujących przepływ osób przez granice (kodeks graniczny Schengen)Dz. U. L 77, 23.3.2016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Obowiązkowa literatura:</w:t>
            </w:r>
          </w:p>
          <w:p>
            <w:pPr>
              <w:pStyle w:val="Autorprokuratury"/>
              <w:widowControl w:val="false"/>
              <w:suppressAutoHyphens w:val="true"/>
              <w:spacing w:before="0" w:after="360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rFonts w:ascii="Times New Roman" w:hAnsi="Times New Roman"/>
                <w:b w:val="false"/>
                <w:kern w:val="0"/>
                <w:lang w:val="pl-PL" w:bidi="ar-SA"/>
              </w:rPr>
              <w:t xml:space="preserve">1. Dubaj S., Kuś A., Witkowski P., </w:t>
            </w:r>
            <w:r>
              <w:rPr>
                <w:rFonts w:ascii="Times New Roman" w:hAnsi="Times New Roman"/>
                <w:b w:val="false"/>
                <w:i/>
                <w:kern w:val="0"/>
                <w:lang w:val="pl-PL" w:bidi="ar-SA"/>
              </w:rPr>
              <w:t xml:space="preserve">Zasady i ograniczenia w przepływie osób </w:t>
              <w:br/>
              <w:t>i towarów w Unii Europejskiej</w:t>
            </w:r>
            <w:r>
              <w:rPr>
                <w:rFonts w:ascii="Times New Roman" w:hAnsi="Times New Roman"/>
                <w:b w:val="false"/>
                <w:kern w:val="0"/>
                <w:lang w:val="pl-PL" w:bidi="ar-SA"/>
              </w:rPr>
              <w:t>, Zamość 2008.</w:t>
              <w:br/>
              <w:t xml:space="preserve">2. Jachimowicz M., </w:t>
            </w:r>
            <w:r>
              <w:rPr>
                <w:rFonts w:ascii="Times New Roman" w:hAnsi="Times New Roman"/>
                <w:b w:val="false"/>
                <w:i/>
                <w:kern w:val="0"/>
                <w:lang w:val="pl-PL" w:bidi="ar-SA"/>
              </w:rPr>
              <w:t>Nowe zasady odpowiedzialności za nielegalne przekroczenie granicy RP</w:t>
            </w:r>
            <w:r>
              <w:rPr>
                <w:rFonts w:ascii="Times New Roman" w:hAnsi="Times New Roman"/>
                <w:b w:val="false"/>
                <w:kern w:val="0"/>
                <w:lang w:val="pl-PL" w:bidi="ar-SA"/>
              </w:rPr>
              <w:t xml:space="preserve">, Prokuratura i Prawo 5/2006. </w:t>
            </w:r>
          </w:p>
          <w:p>
            <w:pPr>
              <w:pStyle w:val="Autorprokuratury"/>
              <w:widowControl w:val="false"/>
              <w:suppressAutoHyphens w:val="true"/>
              <w:spacing w:before="0" w:after="360"/>
              <w:rPr>
                <w:rFonts w:ascii="Times New Roman" w:hAnsi="Times New Roman"/>
                <w:b w:val="false"/>
                <w:b w:val="false"/>
              </w:rPr>
            </w:pPr>
            <w:r>
              <w:rPr>
                <w:rFonts w:ascii="Times New Roman" w:hAnsi="Times New Roman"/>
                <w:b w:val="false"/>
                <w:kern w:val="0"/>
                <w:lang w:val="pl-PL" w:bidi="ar-SA"/>
              </w:rPr>
              <w:t xml:space="preserve">3.Trybus M., </w:t>
            </w:r>
            <w:r>
              <w:rPr>
                <w:rFonts w:eastAsia="Calibri" w:ascii="Times New Roman" w:hAnsi="Times New Roman" w:eastAsiaTheme="minorHAnsi"/>
                <w:b w:val="false"/>
                <w:i/>
                <w:color w:val="242021"/>
                <w:kern w:val="0"/>
                <w:lang w:val="pl-PL" w:eastAsia="en-US" w:bidi="ar-SA"/>
              </w:rPr>
              <w:t>Nielegalne przekroczenie granicy</w:t>
              <w:br/>
              <w:t>– aspekty prawnokarne</w:t>
            </w:r>
            <w:r>
              <w:rPr>
                <w:rFonts w:eastAsia="Calibri" w:ascii="Times New Roman" w:hAnsi="Times New Roman" w:eastAsiaTheme="minorHAnsi"/>
                <w:b w:val="false"/>
                <w:color w:val="242021"/>
                <w:kern w:val="0"/>
                <w:lang w:val="pl-PL" w:eastAsia="en-US" w:bidi="ar-SA"/>
              </w:rPr>
              <w:t xml:space="preserve">, </w:t>
            </w:r>
            <w:r>
              <w:rPr>
                <w:rStyle w:val="Fontstyle01"/>
                <w:rFonts w:cs="Times New Roman" w:ascii="Times New Roman" w:hAnsi="Times New Roman"/>
                <w:b w:val="false"/>
                <w:kern w:val="0"/>
                <w:sz w:val="24"/>
                <w:szCs w:val="24"/>
                <w:lang w:val="pl-PL" w:bidi="ar-SA"/>
              </w:rPr>
              <w:t>Studia Prawnoustrojowe 46/2019.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1. Maksimczuk A., Sidorowicz L.,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pl-PL" w:eastAsia="pl-PL" w:bidi="ar-SA"/>
              </w:rPr>
              <w:t>Graniczna obsługa ruchu osobowego i towarowego w Unii Europejskiej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 (wybrane aspekty), Warszawa 2008.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MinionPro-Regular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9"/>
    <w:qFormat/>
    <w:rsid w:val="00a72bb4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"/>
    <w:link w:val="Nagwek3Znak"/>
    <w:uiPriority w:val="9"/>
    <w:qFormat/>
    <w:rsid w:val="00a72bb4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a72bb4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a72bb4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Fontstyle01" w:customStyle="1">
    <w:name w:val="fontstyle01"/>
    <w:basedOn w:val="DefaultParagraphFont"/>
    <w:qFormat/>
    <w:rsid w:val="00682966"/>
    <w:rPr>
      <w:rFonts w:ascii="Calibri" w:hAnsi="Calibri" w:cs="Calibri"/>
      <w:b w:val="false"/>
      <w:bCs w:val="false"/>
      <w:i w:val="false"/>
      <w:iCs w:val="false"/>
      <w:color w:val="000000"/>
      <w:sz w:val="22"/>
      <w:szCs w:val="22"/>
    </w:rPr>
  </w:style>
  <w:style w:type="character" w:styleId="Wyrnienie">
    <w:name w:val="Wyróżnienie"/>
    <w:basedOn w:val="DefaultParagraphFont"/>
    <w:uiPriority w:val="20"/>
    <w:qFormat/>
    <w:rsid w:val="00d06a90"/>
    <w:rPr>
      <w:i/>
      <w:iCs/>
    </w:rPr>
  </w:style>
  <w:style w:type="character" w:styleId="Markedcontent" w:customStyle="1">
    <w:name w:val="markedcontent"/>
    <w:basedOn w:val="DefaultParagraphFont"/>
    <w:qFormat/>
    <w:rsid w:val="00e71e0b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57125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F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utorprokuratury" w:customStyle="1">
    <w:name w:val="autor prokuratury"/>
    <w:basedOn w:val="Normal"/>
    <w:qFormat/>
    <w:rsid w:val="00a60259"/>
    <w:pPr>
      <w:keepNext w:val="true"/>
      <w:spacing w:lineRule="auto" w:line="240" w:before="0" w:after="360"/>
      <w:jc w:val="both"/>
      <w:outlineLvl w:val="1"/>
    </w:pPr>
    <w:rPr>
      <w:rFonts w:ascii="Helvetica" w:hAnsi="Helvetica" w:eastAsia="Times New Roman" w:cs="Times New Roman"/>
      <w:b/>
      <w:bCs/>
      <w:sz w:val="24"/>
      <w:szCs w:val="24"/>
      <w:lang w:eastAsia="pl-PL"/>
    </w:rPr>
  </w:style>
  <w:style w:type="paragraph" w:styleId="Tytulprokuratury" w:customStyle="1">
    <w:name w:val="tytul prokuratury"/>
    <w:basedOn w:val="Normal"/>
    <w:qFormat/>
    <w:rsid w:val="00a60259"/>
    <w:pPr>
      <w:keepNext w:val="true"/>
      <w:spacing w:lineRule="auto" w:line="240" w:before="0" w:after="320"/>
      <w:jc w:val="center"/>
      <w:outlineLvl w:val="1"/>
    </w:pPr>
    <w:rPr>
      <w:rFonts w:ascii="Helvetica" w:hAnsi="Helvetica" w:eastAsia="Times New Roman" w:cs="Times New Roman"/>
      <w:b/>
      <w:bCs/>
      <w:sz w:val="31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2D649-158F-43A9-8AC0-CD1210D3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Application>LibreOffice/7.2.6.2$Windows_X86_64 LibreOffice_project/b0ec3a565991f7569a5a7f5d24fed7f52653d754</Application>
  <AppVersion>15.0000</AppVersion>
  <Pages>4</Pages>
  <Words>781</Words>
  <Characters>5181</Characters>
  <CharactersWithSpaces>5804</CharactersWithSpaces>
  <Paragraphs>171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2022-12-07T18:49:00Z</dcterms:created>
  <dc:creator>Anna Łukasiewicz</dc:creator>
  <dc:description/>
  <dc:language>pl-PL</dc:language>
  <cp:lastModifiedBy>Anna</cp:lastModifiedBy>
  <cp:lastPrinted>2019-01-23T11:10:00Z</cp:lastPrinted>
  <dcterms:modified xsi:type="dcterms:W3CDTF">2022-12-09T12:01:00Z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