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2022/2023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Zagrożenia asymetryczne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Asymmetric Threats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3"/>
        <w:gridCol w:w="6998"/>
      </w:tblGrid>
      <w:tr>
        <w:trPr/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– znajomość zagadnień dotyczących bezpieczeństwa międzynarodowego. </w:t>
              <w:br/>
              <w:t>W2 – zainteresowanie problematyką.</w:t>
              <w:br/>
              <w:t>W3 – umiejętność rzeczowej dyskusji.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problemem zagrożeń asymetrycznych i działaniami na rzecz ich zwalczania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rozumie interdyscyplinarny charakter wiedzy z dziedziny nauk społecznych; kontekst zjawisk i procesów społecznych, przyczyn i skutków, szczególnie z obszaru zagrożeń asymetrycznych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uwarunkowania bezpieczeństwa globalnego, systemów bezpieczeństwa państwa, a także bezpieczeństwa międzynarodowego, w tym instytucji międzynarodowych, szczególnie te powiązanie z zagrożeniami asymetrycznymi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posiadaną, pogłębioną wiedzę teoretyczną do analizowania, diagnozowania, wyjaśniania oraz prognozowania kwestii szczegółowych odnoszących się do bezpieczeństwa na poziomie państwa i w wymiarze międzynarodowym, szczególnie w odniesieniu do zagrożeń asymetrycznych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pogłębioną wiedzę teoretyczną w rozwiązywaniu problemów związanych z bezpieczeństwem państwa i w wymiarze międzynarodowym, , szczególnie tych powiązanych z zagrożeniami asymetrycznymi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myślenia i działania w sposób prospołeczny i przedsiębiorczy, w tym zarządzania ryzykiem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1. Kwestie pojęciowe. 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2. Koncepcje zagrożeń asymetrycznych. 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3. Technologie informacyjne (walka informacyjna) jako zagrożenie asymetryczne. 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4. Przestępczość transnarodowa jako zagrożenie asymetryczne. 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5. Broń masowego rażenia jako zagrożenie asymetryczne. 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6. Terroryzm międzynarodowy jako zagrożenie asymetryczne.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7. Piractwo morskie (na przykładzie somalijskiego piractwa morskiego) jako zagrożenie asymetryczne.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ind w:left="36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8. Państwa de facto (ruchy separatystyczne) jako zagrożenie asymetryczne.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6"/>
        <w:gridCol w:w="2773"/>
        <w:gridCol w:w="2540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Burza mózgów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i dyskusja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ind w:left="360" w:hanging="0"/>
        <w:rPr/>
      </w:pPr>
      <w:r>
        <w:rPr/>
        <w:t>Ocena w oparciu o przedstawioną prezentację i aktywny udział w zajęciach.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Marek Madej, Zagrożenia asymetryczne bezpieczeństwa państw obszaru transatlantyckiego, Warszawa 2007.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2. Piotr Gawliczek, Jacek Pawłowski, Zagrożenia asymetryczne, Warszawa 2003.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3. Krzysztof Rokiciński, Zagrożenia asymetryczne w Regionie Bałtyckim, Warszawa 2006.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4. Piotr Gawliczek, Asymetria w środowisku bezpieczeństwa, Warszawa 2009.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Zagrożenia asymetryczne współczesnego świata, red. S. Wojciechowski, R. Fiedler, Poznań 2009.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6. Alina Bomba, Piractwo morskie, [w:] Agnieszka Florczak, Alicja Lisowska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(red.), Organizacje międzynarodowe w działaniu, Wrocław 2014.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Katarzyna Wardin, Współczesne piractwo morskie. Wyzwanie somalijskie oraz odpowiedź społeczności międzynarodowej, Warszawa 2012.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 Marcin Kosienkowski, Współpraca społeczności międzynarodowej z państwami de facto. Studium przypadków, Lublin 2018.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2. Marcin Kosienkowski, Naddniestrzańska Republika Mołdawska. Determinanty przetrwania, Toruń 2010.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LibreOffice/7.0.2.2$Windows_X86_64 LibreOffice_project/8349ace3c3162073abd90d81fd06dcfb6b36b994</Application>
  <Pages>5</Pages>
  <Words>539</Words>
  <Characters>4042</Characters>
  <CharactersWithSpaces>4465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2023-02-12T11:20:00Z</dcterms:created>
  <dc:creator>Anna Łukasiewicz</dc:creator>
  <dc:description/>
  <dc:language>pl-PL</dc:language>
  <cp:lastModifiedBy>Marcin Kosienkowski</cp:lastModifiedBy>
  <cp:lastPrinted>2019-01-23T11:10:00Z</cp:lastPrinted>
  <dcterms:modified xsi:type="dcterms:W3CDTF">2023-02-12T11:38:00Z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