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>
          <w:b/>
          <w:b/>
        </w:rPr>
      </w:pPr>
      <w:r>
        <w:rPr/>
        <w:t>Cykl kształcenia od roku akademickiego: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Podstawy dyplomacji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Introduction to diplomacy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trzeci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powinien wykazać zainteresowanie przedmiotem.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C1 -Głównym celem jest wstępna prezentacja dyplomacji jako procesu,  służby zagranicznej oraz jako sztuki prowadzenia polityki zagranicznej.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C2- Studenci zapoznają się z rodzajami działalności dyplomatycznej, funkcjami oraz zmianami</w:t>
              <w:br/>
              <w:t xml:space="preserve">zachodzącymi w procesach dyplomacji.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Studenci poznają zasady protokołu dyplomatycznego  i etykiety.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Charakteryzuje podstawowe pojęcia z zakresu dyplomacji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K-WO1, K-WO2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Zna główne uwarunkowania, instytucje i rodzaje działalności</w:t>
              <w:br/>
              <w:t>dyplomatycznej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K-WO3, K-WO4,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W_...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rozpoznać i ocenić w/w w tekstach naukowych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K-WO5, K-WO6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przygotować w zarysie plan danej czynności z zakresu</w:t>
              <w:br/>
              <w:t>dyplomacji np. wizyty oficjalnej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K-UO1, K-UO2,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zorganizować wydarzenie o charakterze międzynarodowym (konferencję, debatę, wizytę zagraniczną)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K-UO3, K-UO4, K-</w:t>
              <w:br/>
              <w:t>UO6, K-UO8, K-UO10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Ocenić skuteczność wybranych działań dyplomatycznych dla realizacji celów narodowych.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Zna zasady etykiety dyplomatycznej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K-KO1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Zarys historii dyplomacji. Źródła prawa dyplomatycznego i konsularnego. Główne rodzaje dyplomacji wg narzędzi i sposobów sztuki dyplomatycznej. Zadania ambasady i konsulatu. Przywileje immunitety. Organizacja wizyt. Precedencja i jej zasady. Protokół dyplomatyczny i etykieta.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  <w:t>Service learning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Obecność na zajęciach, aktywne uczestnictwo, pozytywne zaliczenie testu końcowego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J.W. Piekarski Protokół dyplomatyczny i dobre obyczaje, Warszawa 2004.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Modrzyńska, Protokół dyplomatyczny, etykieta i zasady savoire-vivre’u. Warszawa 2016.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T. Orłowski, Protokół dyplomatyczny, ceremoniał i etykieta. Warszawa 2006.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LibreOffice/7.2.6.2$Windows_X86_64 LibreOffice_project/b0ec3a565991f7569a5a7f5d24fed7f52653d754</Application>
  <AppVersion>15.0000</AppVersion>
  <Pages>3</Pages>
  <Words>479</Words>
  <Characters>3374</Characters>
  <CharactersWithSpaces>3733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2022-12-23T10:43:15Z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