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b/>
          <w:b/>
        </w:rPr>
      </w:pPr>
      <w:bookmarkStart w:id="0" w:name="_GoBack"/>
      <w:bookmarkEnd w:id="0"/>
      <w:r>
        <w:rPr>
          <w:rFonts w:cs="Calibri" w:cstheme="minorHAnsi"/>
          <w:b/>
        </w:rPr>
        <w:t xml:space="preserve">KARTA PRZEDMIOTU 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Przedsiębiorczość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Entrepreneurship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dr Piotr Mamcarz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  <w:t>Znajomość języka polskiego (a dla grup w jęz. ang.) na poziomie komunikatywnym (A2). Rozumienie podstawowych pojęć związanych z pracą. Umiejętność zdefiniowania swoich potrzeb związanych z rynkiem pracy. Gotowość do uczenia się.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360" w:hanging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1) zapoznanie studentów z podstawowymi pojęciami w zakresie przedsiębiorczości (np. człowiek przedsiębiorczy, organizacja, praca, postawa przedsiębiorcza, praca zespołowa, stres zawodowy, rynek pracy, etyka biznesu);</w:t>
            </w:r>
          </w:p>
          <w:p>
            <w:pPr>
              <w:pStyle w:val="ListParagraph"/>
              <w:widowControl/>
              <w:spacing w:lineRule="auto" w:line="240" w:before="0" w:after="0"/>
              <w:ind w:left="1080" w:hanging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2) doskonalenie narzędzi/sprawności przedsiębiorczych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3) kształtowanie postaw i nawyków związanych z procesami dydaktycznymi i biznesowymi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Efekty uczenia się dla przedmiotu wraz z odniesieniem do Polskiej Ramy Kwalifikacji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33"/>
        <w:gridCol w:w="5824"/>
        <w:gridCol w:w="2131"/>
      </w:tblGrid>
      <w:tr>
        <w:trPr/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2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1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Polskiej Ramy Kwalifikacji</w:t>
            </w:r>
          </w:p>
        </w:tc>
      </w:tr>
      <w:tr>
        <w:trPr/>
        <w:tc>
          <w:tcPr>
            <w:tcW w:w="928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Un_P_W_01</w:t>
            </w:r>
          </w:p>
        </w:tc>
        <w:tc>
          <w:tcPr>
            <w:tcW w:w="5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ascii="Arial Narrow" w:hAnsi="Arial Narrow"/>
                <w:color w:val="000000"/>
                <w:kern w:val="0"/>
                <w:sz w:val="22"/>
                <w:szCs w:val="22"/>
                <w:lang w:val="pl-PL" w:eastAsia="en-US" w:bidi="ar-SA"/>
              </w:rPr>
              <w:t>Prezentuje wybrane koncepcje i pojęcia przedsiębiorczości, rynku pracy, kariery i jej planowania, pracy zespołowej, analizy zasobów karierowych.</w:t>
            </w:r>
          </w:p>
        </w:tc>
        <w:tc>
          <w:tcPr>
            <w:tcW w:w="2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P6S_WK3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Un_P_W_02</w:t>
            </w:r>
          </w:p>
        </w:tc>
        <w:tc>
          <w:tcPr>
            <w:tcW w:w="5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ascii="Arial Narrow" w:hAnsi="Arial Narrow"/>
                <w:color w:val="000000"/>
                <w:kern w:val="0"/>
                <w:sz w:val="22"/>
                <w:szCs w:val="22"/>
                <w:lang w:val="pl-PL" w:eastAsia="en-US" w:bidi="ar-SA"/>
              </w:rPr>
              <w:t>Prezentuje zasady planowania działalności gospodarczej z uwzględnieniem tworzenia projektu biznesowego i określania kosztowności i zyskowności przedsięwzięć.</w:t>
            </w:r>
          </w:p>
        </w:tc>
        <w:tc>
          <w:tcPr>
            <w:tcW w:w="2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P6S_WK3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8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Un_P_U_01</w:t>
            </w:r>
          </w:p>
        </w:tc>
        <w:tc>
          <w:tcPr>
            <w:tcW w:w="5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ascii="Arial Narrow" w:hAnsi="Arial Narrow"/>
                <w:color w:val="000000"/>
                <w:kern w:val="0"/>
                <w:sz w:val="22"/>
                <w:szCs w:val="22"/>
                <w:lang w:val="pl-PL" w:eastAsia="en-US" w:bidi="ar-SA"/>
              </w:rPr>
              <w:t>Tworzy zarys własnej koncepcji ścieżki kariery z wykorzystaniem wiedzy o zasobach własnych, realiach rynku pracy oraz na podstawie własnego pomysłu na funkcjonowanie zawodowe.</w:t>
            </w:r>
          </w:p>
        </w:tc>
        <w:tc>
          <w:tcPr>
            <w:tcW w:w="2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P6S_UU1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Un_P_U_02</w:t>
            </w:r>
          </w:p>
        </w:tc>
        <w:tc>
          <w:tcPr>
            <w:tcW w:w="5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ascii="Arial Narrow" w:hAnsi="Arial Narrow"/>
                <w:color w:val="000000"/>
                <w:kern w:val="0"/>
                <w:sz w:val="22"/>
                <w:szCs w:val="22"/>
                <w:lang w:val="pl-PL" w:eastAsia="en-US" w:bidi="ar-SA"/>
              </w:rPr>
              <w:t>Wykorzystuje mechanizmy i narzędzia komunikacji interpersonalnej oraz grupowej w działaniach przedsiębiorczych</w:t>
            </w:r>
          </w:p>
        </w:tc>
        <w:tc>
          <w:tcPr>
            <w:tcW w:w="2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P6S_UU1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8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Un_P_K_01</w:t>
            </w:r>
          </w:p>
        </w:tc>
        <w:tc>
          <w:tcPr>
            <w:tcW w:w="5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ascii="Arial Narrow" w:hAnsi="Arial Narrow"/>
                <w:color w:val="000000"/>
                <w:kern w:val="0"/>
                <w:sz w:val="22"/>
                <w:szCs w:val="22"/>
                <w:lang w:val="pl-PL" w:eastAsia="en-US" w:bidi="ar-SA"/>
              </w:rPr>
              <w:t>Wykazuje zaangażowanie w realizację zadań przedsiębiorczych, w tym indywidualnych i zespołowych</w:t>
            </w:r>
          </w:p>
        </w:tc>
        <w:tc>
          <w:tcPr>
            <w:tcW w:w="2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P6S_KO3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Un_P_K_02</w:t>
            </w:r>
          </w:p>
        </w:tc>
        <w:tc>
          <w:tcPr>
            <w:tcW w:w="5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ascii="Arial Narrow" w:hAnsi="Arial Narrow"/>
                <w:color w:val="000000"/>
                <w:kern w:val="0"/>
                <w:sz w:val="22"/>
                <w:szCs w:val="22"/>
                <w:lang w:val="pl-PL" w:eastAsia="en-US" w:bidi="ar-SA"/>
              </w:rPr>
              <w:t>Nawiązuje kontakty indywidualne i instytucjonalne niezbędne do stworzenia sieci i networkingu</w:t>
            </w:r>
          </w:p>
        </w:tc>
        <w:tc>
          <w:tcPr>
            <w:tcW w:w="2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P6S_KO3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Rynek pracy – specyfika i wymagania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Poszukiwanie pracy: źródła wiedzy i bariery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Projekt biznesowy cz 1. Wizja, misja i strategia organizacji (design thinking)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 xml:space="preserve">Projekt biznesowy cz. 2. Analiza rynku: uwarunkowania mikro- </w:t>
              <w:br/>
              <w:t>i makroekonomiczne, prawno-administracyjne, demograficzne, społeczno-kulturowe i technologiczne funkcjonowania rynkowego.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Projekt biznesowy cz. 3. Dopasowanie produktu/usługi do wymogów i potrzeb rynku, definicja produktu i jego pozycjonowanie na rynku, podstawy strategii kosztowej.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Projekt biznesowy cz. 4. Planowanie własnej działalności gospodarczej: zakładanie działalności i podstawy zarządzania.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240" w:before="0" w:after="0"/>
              <w:jc w:val="left"/>
              <w:textAlignment w:val="baseline"/>
              <w:rPr>
                <w:rFonts w:ascii="Arial" w:hAnsi="Arial" w:eastAsia="Times New Roman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Arial" w:ascii="Arial" w:hAnsi="Arial"/>
                <w:color w:val="000000"/>
                <w:kern w:val="0"/>
                <w:sz w:val="16"/>
                <w:szCs w:val="16"/>
                <w:lang w:val="pl-PL" w:eastAsia="pl-PL" w:bidi="ar-SA"/>
              </w:rPr>
              <w:t>Zaliczenie projektu końcowego (prezentacje projektów biznesowych)</w:t>
            </w:r>
          </w:p>
        </w:tc>
      </w:tr>
    </w:tbl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33"/>
        <w:gridCol w:w="2642"/>
        <w:gridCol w:w="2774"/>
        <w:gridCol w:w="2538"/>
      </w:tblGrid>
      <w:tr>
        <w:trPr/>
        <w:tc>
          <w:tcPr>
            <w:tcW w:w="133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7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87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Un_P_W_01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Karta oceny/Raport z obserwacji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Un_P_W_02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Studium przypadku</w:t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Prezentacja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Karta oceny/Raport z obserwacji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87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Un_P_U_01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Metoda problemowa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PBL (Problem-Based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Learning)</w:t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Sprawozdanie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Protokół / Wydruk / Plik sprawozdania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Un_P_U_02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w zespołach</w:t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Karta oceny pracy 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grupie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87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Un_P_K_01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Metoda projektu</w:t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Przygotowanie / wykonanie projektu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Karta oceny projektu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strike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Un_P_K_02</w:t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Metoda projektu</w:t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Przygotowanie / wykonanie projektu</w:t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/>
                <w:kern w:val="0"/>
                <w:sz w:val="22"/>
                <w:szCs w:val="22"/>
                <w:lang w:val="pl-PL" w:eastAsia="en-US" w:bidi="ar-SA"/>
              </w:rPr>
              <w:t>Karta oceny projektu</w:t>
            </w:r>
          </w:p>
        </w:tc>
      </w:tr>
      <w:tr>
        <w:trPr/>
        <w:tc>
          <w:tcPr>
            <w:tcW w:w="13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Zgromadzenie przez studentów odpowiedniej liczby punktów za: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1. Aktywne uczestnictwo w zajęciach (25%)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2. Wykonanie konkretnych zadań postawionych przez prowadzącego na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poszczególnych etapach realizacji programu zajęć (w tym testy i kolokwia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sprawdzające wiedzę) (25%)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3. Realizacja projektu biznesowego (50%)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Kryteria oceny osiągniętych efektów kształcenia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Zgromadzenie odpowiedniej liczby punktów w 3 zakresach: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1. Aktywne uczestnictwo: 0-100 pkt., zaliczenie od 50 pkt.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2. Wykonanie zadań zleconych w trakcie realizacji programu: 0-100 pkt.,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Zaliczenie od 50 pkt.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3. Realizacja projektu biznesowego: 0-100 pkt. Zaliczenie od 70 pkt.</w:t>
      </w:r>
    </w:p>
    <w:p>
      <w:pPr>
        <w:pStyle w:val="Normal"/>
        <w:rPr>
          <w:rFonts w:cs="Calibri" w:cstheme="minorHAnsi"/>
          <w:b/>
          <w:b/>
        </w:rPr>
      </w:pPr>
      <w:r>
        <w:rPr>
          <w:rFonts w:cs="Calibri" w:cstheme="minorHAnsi"/>
          <w:b/>
        </w:rPr>
        <w:t>Łączna minimalna liczba pkt. wymagana do zaliczenia przedmiotu: 170</w:t>
      </w:r>
      <w:r>
        <w:br w:type="page"/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 </w:t>
            </w: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15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22"/>
                <w:szCs w:val="22"/>
                <w:lang w:val="pl-PL" w:eastAsia="en-US" w:bidi="ar-SA"/>
              </w:rPr>
              <w:t>15 godzin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88"/>
      </w:tblGrid>
      <w:tr>
        <w:trPr/>
        <w:tc>
          <w:tcPr>
            <w:tcW w:w="9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en-US" w:eastAsia="pl-PL" w:bidi="ar-SA"/>
              </w:rPr>
              <w:t xml:space="preserve">Armstrong G., Kotler P. (2018).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en-US" w:eastAsia="pl-PL" w:bidi="ar-SA"/>
              </w:rPr>
              <w:t xml:space="preserve">Marketing.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Wprowadzenie. 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Gab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Cardona P., Rey C. (2009).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Zarządzanie poprzez misje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Oficyna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Cieślik J. (2010).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Przedsiębiorczość dla ambitnych. Jak uruchomić własny biznes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[wersja online]. Wydawnictwo Akademickie i Profesjonalne &lt;http://nowybiznes.edu.pl&gt;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Gierszewska G., Romanowska M. (2017).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Analiza strategiczna przedsiębiorstwa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PWE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Harrington-Mackin D. (2011).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Budowanie zespołu: zestaw narzędzi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Rebis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Ingle B.R. (2015).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Design thinking dla przedsiębiorców i małych firm. Potęga myślenia projektowego w codziennej pracy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HELION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Kotlorz D. (red.) (2011).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Współczesny rynek pracy. Wybrane problemy. 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Wydawnictwo Uniwersytetu Ekonomicznego w Katowicach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Koźmiński A.K., Piotrowski W. (2018).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Zarządzanie. Teoria i praktyka. 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PWN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Kryńska E., Kwiatkowski E. (2013).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Podstawy wiedzy o rynku pracy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Wydawnictwo Uniwersytetu Łódzkiego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Niermeyer R. (2009).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Umiejętności osobiste. Kadry, płace i BHP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BECK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Pogorzelski J. (2009).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Pozycjonowanie produktu. 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PWE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Times New Roman" w:cs="Calibri" w:cstheme="minorHAnsi"/>
                <w:lang w:eastAsia="pl-PL"/>
              </w:rPr>
            </w:pP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Pujer K. (red) (2016). </w:t>
            </w:r>
            <w:r>
              <w:rPr>
                <w:rFonts w:eastAsia="Times New Roman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pl-PL" w:bidi="ar-SA"/>
              </w:rPr>
              <w:t>Rynek pracy w Polsce – szanse i zagrożenia</w:t>
            </w:r>
            <w:r>
              <w:rPr>
                <w:rFonts w:eastAsia="Times New Roman" w:cs="Calibri" w:cstheme="minorHAnsi"/>
                <w:color w:val="000000"/>
                <w:kern w:val="0"/>
                <w:sz w:val="22"/>
                <w:szCs w:val="22"/>
                <w:lang w:val="pl-PL" w:eastAsia="pl-PL" w:bidi="ar-SA"/>
              </w:rPr>
              <w:t>. Exante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 xml:space="preserve">Raport: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kern w:val="0"/>
                <w:sz w:val="22"/>
                <w:szCs w:val="22"/>
                <w:lang w:val="pl-PL" w:bidi="ar-SA"/>
              </w:rPr>
              <w:t xml:space="preserve">Młodzi na rynku pracy. Jak jej szukają? Gdzie ją znajdują?,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[online], Absolvent.pl, Warszawa, &lt;</w:t>
            </w:r>
            <w:hyperlink r:id="rId2">
              <w:r>
                <w:rPr>
                  <w:rStyle w:val="Czeinternetowe"/>
                  <w:rFonts w:cs="Calibri" w:ascii="Calibri" w:hAnsi="Calibri" w:asciiTheme="minorHAnsi" w:cstheme="minorHAnsi" w:hAnsiTheme="minorHAnsi"/>
                  <w:kern w:val="0"/>
                  <w:sz w:val="22"/>
                  <w:szCs w:val="22"/>
                  <w:lang w:val="pl-PL" w:bidi="ar-SA"/>
                </w:rPr>
                <w:t>https://swresearch.pl/pdf/raport_mlodzi_o_rynku_oracy_SWR.pdf</w:t>
              </w:r>
            </w:hyperlink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&gt;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Wojewódzki Urząd Pracy w Lublinie (2017).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kern w:val="0"/>
                <w:sz w:val="22"/>
                <w:szCs w:val="22"/>
                <w:lang w:val="pl-PL" w:bidi="ar-SA"/>
              </w:rPr>
              <w:t xml:space="preserve"> 7 dni poszukiwania pracy. Poradnik,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 xml:space="preserve"> [online] &lt;</w:t>
            </w:r>
            <w:hyperlink r:id="rId3">
              <w:r>
                <w:rPr>
                  <w:rStyle w:val="Czeinternetowe"/>
                  <w:rFonts w:cs="Calibri" w:ascii="Calibri" w:hAnsi="Calibri" w:asciiTheme="minorHAnsi" w:cstheme="minorHAnsi" w:hAnsiTheme="minorHAnsi"/>
                  <w:kern w:val="0"/>
                  <w:sz w:val="22"/>
                  <w:szCs w:val="22"/>
                  <w:lang w:val="pl-PL" w:bidi="ar-SA"/>
                </w:rPr>
                <w:t>https://www.kul.pl/files/971/7_dni_poszukiwania_pracy.pdf</w:t>
              </w:r>
            </w:hyperlink>
            <w:r>
              <w:rPr>
                <w:rFonts w:cs="Calibri" w:ascii="Calibri" w:hAnsi="Calibri" w:asciiTheme="minorHAnsi" w:cstheme="minorHAnsi" w:hAnsiTheme="minorHAnsi"/>
                <w:color w:val="0000FF"/>
                <w:kern w:val="0"/>
                <w:sz w:val="22"/>
                <w:szCs w:val="22"/>
                <w:u w:val="single"/>
                <w:lang w:val="pl-PL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&gt;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br/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Wojewódzki Urząd Pracy w Warszawie (2016).</w:t>
            </w:r>
            <w:r>
              <w:rPr>
                <w:rFonts w:eastAsia="Calibri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Rodzaje umów przy podejmowaniu zatrudnienia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.</w:t>
            </w:r>
            <w:r>
              <w:rPr>
                <w:rFonts w:eastAsia="Calibri" w:cs="Calibri" w:cstheme="minorHAnsi"/>
                <w:i/>
                <w:iCs/>
                <w:color w:val="000000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Wojewódzki Urząd Pracy w Warszawie &lt;https://wupwarszawa.praca.gov.pl/documents/47726/695264/ABC%20um%C3%B3w%20o%20prac%C4%99/516aac3d-131c-4972-8b3b-35756a406549?t=1426760452000</w:t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88" w:type="dxa"/>
            <w:tcBorders/>
          </w:tcPr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Dweck, C. (2017). Nowa psychologia sukcesu. Wydawnictwo: Muza.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Godlewska-Majkowska, H. (red.) (2009). Przedsiębiorczość: jak założyć i prowadzić własną firmę. Wydawnictwo: SGH.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Lisowska R., Ropęga J. (2016). Przedsiębiorczość i zarządzanie w małej i średniej firmie. Wydawnictwo Uniwersytetu Łódzkiego.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Lubrańska A. (2017). Psychologia pracy - Podstawowe pojęcia i zagadnienia. Wydawnictwo: Difin.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Rudkin Ingle, B. (2015). Design thinking dla przedsiębiorców i małych firm. Potęga myślenia projektowego w codziennej pracy. Wydawnictwo: Helion.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Skrzypek, J. (2014). Biznesplan w 10 krokach. Wydawnictwo Poltext.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Strycharczyk D., Clough P. (2017). Odporność psychiczna - Strategie i narzędzia rozwoju. Wydawnictwo GWP.</w:t>
            </w:r>
          </w:p>
          <w:p>
            <w:pPr>
              <w:pStyle w:val="NormalWeb"/>
              <w:widowControl/>
              <w:spacing w:beforeAutospacing="0"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kern w:val="0"/>
                <w:sz w:val="22"/>
                <w:szCs w:val="22"/>
                <w:lang w:val="pl-PL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Tokarski, A., Tokarski M., Wójcik J. (2017). Jak solidnie przygotować profesjonalny biznesplan. Wydawnictwo:</w:t>
            </w:r>
            <w:hyperlink r:id="rId4">
              <w:r>
                <w:rPr>
                  <w:rStyle w:val="Czeinternetowe"/>
                  <w:rFonts w:eastAsia="Calibri" w:cs="Calibri" w:cstheme="minorHAnsi"/>
                  <w:color w:val="000000"/>
                  <w:kern w:val="0"/>
                  <w:sz w:val="22"/>
                  <w:szCs w:val="22"/>
                  <w:lang w:val="pl-PL" w:eastAsia="en-US" w:bidi="ar-SA"/>
                </w:rPr>
                <w:t xml:space="preserve"> CeDeWu</w:t>
              </w:r>
            </w:hyperlink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pl-PL" w:eastAsia="en-US" w:bidi="ar-SA"/>
              </w:rPr>
              <w:t>.</w:t>
            </w:r>
          </w:p>
        </w:tc>
      </w:tr>
    </w:tbl>
    <w:p>
      <w:pPr>
        <w:pStyle w:val="Normal"/>
        <w:spacing w:before="0" w:after="200"/>
        <w:rPr>
          <w:rFonts w:cs="Calibri" w:cstheme="minorHAnsi"/>
        </w:rPr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Appletabspan" w:customStyle="1">
    <w:name w:val="apple-tab-span"/>
    <w:basedOn w:val="DefaultParagraphFont"/>
    <w:qFormat/>
    <w:rsid w:val="00e23a1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1214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21214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212144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1214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12144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wresearch.pl/pdf/raport_mlodzi_o_rynku_oracy_SWR.pdf" TargetMode="External"/><Relationship Id="rId3" Type="http://schemas.openxmlformats.org/officeDocument/2006/relationships/hyperlink" Target="https://www.kul.pl/files/971/7_dni_poszukiwania_pracy.pdf" TargetMode="External"/><Relationship Id="rId4" Type="http://schemas.openxmlformats.org/officeDocument/2006/relationships/hyperlink" Target="https://www.profit24.pl/wydawnictwo/CeDeWu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86F54-1E5D-46F8-B0D7-BDD8E3D8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LibreOffice/7.2.4.1$Windows_X86_64 LibreOffice_project/27d75539669ac387bb498e35313b970b7fe9c4f9</Application>
  <AppVersion>15.0000</AppVersion>
  <Pages>5</Pages>
  <Words>868</Words>
  <Characters>6416</Characters>
  <CharactersWithSpaces>7113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2021-11-22T10:36:00Z</dcterms:created>
  <dc:creator>Anna Łukasiewicz</dc:creator>
  <dc:description/>
  <dc:language>pl-PL</dc:language>
  <cp:lastModifiedBy/>
  <cp:lastPrinted>2019-01-23T11:10:00Z</cp:lastPrinted>
  <dcterms:modified xsi:type="dcterms:W3CDTF">2023-06-14T20:25:10Z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