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Międzynarodowe finanse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International finance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stacjonarne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dr Jarosław Kuśpit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Znajomość języka polskiego na poziomie komunikatywnym (A2). Rozumienie podstawowych pojęć związanych z finansami. Zaliczenie przedmiotów Przedsiębiorczość i Integracja europejska Gotowość do uczenia się.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Przekazanie wiedzy w zakresie zasad funkcjonowania międzynarodowych rynków finansowych.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Nabycie praktycznych umiejętności w zakresie obliczania i interpretacji zmian kursu walutowego.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Umiejętność wykorzystania w praktyce dostępnych metod ograniczania ryzyka kursowego.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Posiada wiedzę na temat uwarunkowań ekonomicznych, politycznych i instytucjonalnych wpływających na funkcjonowanie międzynarodowych rynków finansowych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Zna i rozumie pojęcia dotyczące problematyki kursu walutowego i ryzyka kursowego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Potrafi wyróżnić czynniki określające kurs walutowy i prawidłowo interpretować ich wpływ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Potrafi wykorzystywać wiedzę teoretyczną do proponowania sposobów ograniczania skutków ryzyka kursowego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Pojęcie i rodzaje kursów walutowych. Systemy kursowe wg. MFW.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Charakterystyka czynników określających wysokość kursu walutowego.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Ekonomiczne konsekwencje zmian kursu walutowego.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Ewolucja międzynarodowego systemu walutowego.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Główne międzynarodowe instytucje finansowe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Międzynarodowy rynek walutowy - uczestnicy i realizowane transakcje.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Pojęcie i rodzaje ryzyka kursowego.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Strategie i metody sterowania ryzykiem kursowym.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Wykorzystanie transakcji walutowych do zabezpieczania przed ryzykiem.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Charakter i instrumenty międzynarodowego rynku pieniężnego.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Instrumenty międzynarodowego rynku kapitałowego.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Współczesne tendencje na międzynarodowym rynku finansowym. 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2"/>
        <w:gridCol w:w="254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Wykład konwencjonalny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 z egzaminu wraz z kartą odpowiedzi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Obserwacja aktywności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Protokół z egzaminu wraz z kartą odpowiedzi /Raport z obserwacji 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Wykład konwencjonalny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 z egzaminu wraz z kartą odpowiedzi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Obserwacja aktywności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 z egzaminu wraz z kartą odpowiedzi/ Raport z obserwacji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Zgromadzenie odpowiedniej liczby punktów w 2 zakresach: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1. Aktywne uczestnictwo w zajęciach: 20 % (10 punktów)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" w:eastAsiaTheme="minorEastAsia"/>
          <w:b/>
          <w:bCs/>
          <w:color w:val="000000" w:themeColor="text1"/>
          <w:kern w:val="2"/>
          <w:lang w:eastAsia="pl-PL"/>
        </w:rPr>
        <w:t>Systematyczność w uczęszczaniu na zajęcia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" w:eastAsiaTheme="minorEastAsia"/>
          <w:b/>
          <w:bCs/>
          <w:color w:val="000000" w:themeColor="text1"/>
          <w:kern w:val="2"/>
          <w:lang w:eastAsia="pl-PL"/>
        </w:rPr>
        <w:t>Zabieranie głosu w dyskusji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2. Wynik zaliczenia pisemnego w formie testu wielokrotnego wyboru: 80 %. (40 punktów)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Łączna minimalna liczba pkt. wymagana do zaliczenia przedmiotu: 50 % ogólnej punktacji (25 punktów)</w:t>
      </w:r>
      <w:bookmarkStart w:id="0" w:name="_GoBack"/>
      <w:bookmarkEnd w:id="0"/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Ocena końcowa z przedmiotu wynika ze zgromadzonej przez studentów odpowiedniej liczby punktów z zaliczenia pisemnego w formie testu wielokrotnego wyboru i oceny aktywności na zajęciach: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" w:eastAsiaTheme="minorEastAsia"/>
          <w:b/>
          <w:bCs/>
          <w:color w:val="000000" w:themeColor="text1"/>
          <w:kern w:val="2"/>
          <w:lang w:eastAsia="pl-PL"/>
        </w:rPr>
        <w:t>Dostateczny</w:t>
      </w:r>
      <w:r>
        <w:rPr>
          <w:rFonts w:eastAsia="" w:eastAsiaTheme="minorEastAsia"/>
          <w:b/>
          <w:color w:val="000000" w:themeColor="text1"/>
          <w:kern w:val="2"/>
          <w:lang w:eastAsia="pl-PL"/>
        </w:rPr>
        <w:t xml:space="preserve">    50 - 60% punktów możliwych do uzyskania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" w:eastAsiaTheme="minorEastAsia"/>
          <w:b/>
          <w:color w:val="000000" w:themeColor="text1"/>
          <w:kern w:val="2"/>
          <w:lang w:eastAsia="pl-PL"/>
        </w:rPr>
        <w:t>Dostateczny plus  61 – 70% punktów możliwych do uzyskania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" w:eastAsiaTheme="minorEastAsia"/>
          <w:b/>
          <w:color w:val="000000" w:themeColor="text1"/>
          <w:kern w:val="2"/>
          <w:lang w:eastAsia="pl-PL"/>
        </w:rPr>
        <w:t>Dobry     71 – 80% punktów możliwych do uzyskania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" w:eastAsiaTheme="minorEastAsia"/>
          <w:b/>
          <w:color w:val="000000" w:themeColor="text1"/>
          <w:kern w:val="2"/>
          <w:lang w:eastAsia="pl-PL"/>
        </w:rPr>
        <w:t>Dobry plus   81 – 90% punktów możliwych do uzyskania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" w:eastAsiaTheme="minorEastAsia"/>
          <w:b/>
          <w:color w:val="000000" w:themeColor="text1"/>
          <w:kern w:val="2"/>
          <w:lang w:eastAsia="pl-PL"/>
        </w:rPr>
        <w:t>Bardzo dobry   91 – 100% punktów możliwych do uzyskania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30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90 godzin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1. M. Markiewicz, U. Mrzygłód, Finanse międzynarodowe, PWE, Warszawa 2015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E. Najlepszy, Finanse międzynarodowe przedsiębiorstw, PWE, Warszawa 2013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3. B. Bernaś red., Finanse międzynarodowe, PWN, Warszawa 2011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A. Oleksiuk, Międzynarodowe rynki finansowe i centra światowych finansów, Difin, Warszawa 2017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J. Maliszewski, Zarządzanie ryzykiem kursu walutowego w przedsiębiorstwie. Poradnik praktyczny, Linia, Warszawa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3. J.B. Osoba, Ekonomia i finanse międzynarodowe, Difin, Warszawa 2014.</w:t>
            </w:r>
          </w:p>
        </w:tc>
      </w:tr>
    </w:tbl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Appletabspan" w:customStyle="1">
    <w:name w:val="apple-tab-span"/>
    <w:basedOn w:val="DefaultParagraphFont"/>
    <w:qFormat/>
    <w:rsid w:val="00e23a1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35CB97F65640BD1CC9E41C09B43D" ma:contentTypeVersion="3" ma:contentTypeDescription="Utwórz nowy dokument." ma:contentTypeScope="" ma:versionID="e16abf7e5a4a1e01d557d1222aecff15">
  <xsd:schema xmlns:xsd="http://www.w3.org/2001/XMLSchema" xmlns:xs="http://www.w3.org/2001/XMLSchema" xmlns:p="http://schemas.microsoft.com/office/2006/metadata/properties" xmlns:ns2="7c5ed13d-7f1c-47ba-a655-78aa15ac174d" targetNamespace="http://schemas.microsoft.com/office/2006/metadata/properties" ma:root="true" ma:fieldsID="a6fe9bc1df61ca7fd0599ae254ae748a" ns2:_="">
    <xsd:import namespace="7c5ed13d-7f1c-47ba-a655-78aa15ac1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ed13d-7f1c-47ba-a655-78aa15ac1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24C1-F55B-4881-B03A-F5A314F07A8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c5ed13d-7f1c-47ba-a655-78aa15ac17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8E5010-788E-4921-859D-7B9034B78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ed13d-7f1c-47ba-a655-78aa15ac1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2A3F7-9B86-42DA-A5A8-986FEF095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03CD7-F0C3-402D-AAF0-AF866A84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LibreOffice/7.2.6.2$Windows_X86_64 LibreOffice_project/b0ec3a565991f7569a5a7f5d24fed7f52653d754</Application>
  <AppVersion>15.0000</AppVersion>
  <Pages>5</Pages>
  <Words>618</Words>
  <Characters>4260</Characters>
  <CharactersWithSpaces>4752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2021-11-28T19:57:00Z</dcterms:created>
  <dc:creator>Anna Łukasiewicz</dc:creator>
  <dc:description/>
  <dc:language>pl-PL</dc:language>
  <cp:lastModifiedBy/>
  <cp:lastPrinted>2019-01-23T11:10:00Z</cp:lastPrinted>
  <dcterms:modified xsi:type="dcterms:W3CDTF">2022-11-23T12:36:27Z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0x01010029BA35CB97F65640BD1CC9E41C09B43D</vt:lpwstr>
  </property>
</Properties>
</file>