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KARTA PRZEDMIOTU 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Cykl kształcenia od roku akademickiego: 2022/2023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Dane podstawowe</w:t>
      </w:r>
    </w:p>
    <w:p>
      <w:pPr>
        <w:pStyle w:val="ListParagraph"/>
        <w:ind w:left="1080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6"/>
        <w:gridCol w:w="4605"/>
      </w:tblGrid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Nazwa przedmiotu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Ochrona granic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Nazwa przedmiotu w języku angielskim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Border surveillance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Kierunek studiów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Stosunki międzynarodowe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Dyscyplina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Nauki o polityce i administracji; prawo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Język wykładowy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polski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6"/>
        <w:gridCol w:w="4605"/>
      </w:tblGrid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Koordynator przedmiotu/osoba odpowiedzialna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Autospacing="1" w:afterAutospacing="1"/>
              <w:jc w:val="left"/>
              <w:outlineLvl w:val="1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pl-PL" w:eastAsia="pl-PL" w:bidi="ar-SA"/>
              </w:rPr>
              <w:t>dr Anna Szachoń-Pszenny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3"/>
        <w:gridCol w:w="2303"/>
        <w:gridCol w:w="2303"/>
        <w:gridCol w:w="2302"/>
      </w:tblGrid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Forma zajęć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pl-PL" w:eastAsia="en-US" w:bidi="ar-SA"/>
              </w:rPr>
              <w:t>(katalog zamknięty ze słownika)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Liczba godzin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semestr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wykład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30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3</w:t>
            </w:r>
          </w:p>
        </w:tc>
        <w:tc>
          <w:tcPr>
            <w:tcW w:w="2302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3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konwersatorium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ćwiczenia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15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3</w:t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laboratorium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warsztaty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seminarium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proseminarium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lektorat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praktyki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zajęcia terenowe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pracownia dyplomowa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translatorium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wizyta studyjna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34"/>
        <w:gridCol w:w="6977"/>
      </w:tblGrid>
      <w:tr>
        <w:trPr/>
        <w:tc>
          <w:tcPr>
            <w:tcW w:w="22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Wymagania wstępne</w:t>
            </w:r>
          </w:p>
        </w:tc>
        <w:tc>
          <w:tcPr>
            <w:tcW w:w="6977" w:type="dxa"/>
            <w:tcBorders/>
          </w:tcPr>
          <w:tbl>
            <w:tblPr>
              <w:tblW w:w="6761" w:type="dxa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firstRow="1" w:noVBand="1" w:lastRow="0" w:firstColumn="1" w:lastColumn="0" w:noHBand="0" w:val="04a0"/>
            </w:tblPr>
            <w:tblGrid>
              <w:gridCol w:w="6761"/>
            </w:tblGrid>
            <w:tr>
              <w:trPr/>
              <w:tc>
                <w:tcPr>
                  <w:tcW w:w="6761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/>
              <w:tc>
                <w:tcPr>
                  <w:tcW w:w="6761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pl-PL"/>
                    </w:rPr>
                  </w:r>
                </w:p>
                <w:tbl>
                  <w:tblPr>
                    <w:tblW w:w="6731" w:type="dxa"/>
                    <w:jc w:val="left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6731"/>
                  </w:tblGrid>
                  <w:tr>
                    <w:trPr/>
                    <w:tc>
                      <w:tcPr>
                        <w:tcW w:w="6731" w:type="dxa"/>
                        <w:tcBorders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lineRule="auto" w:line="240" w:before="0" w:after="0"/>
                          <w:jc w:val="both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4"/>
                            <w:szCs w:val="24"/>
                            <w:lang w:eastAsia="pl-PL"/>
                          </w:rPr>
                          <w:t>Podstawowa wiedza z zakresu bezpieczeństwa, w szczególności bezpieczeństwa granic i prawa UE.</w:t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pl-PL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Cele kształcenia dla przedmiotu 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C1 wprowadzenie do ogólnej wiedzy na temat prawnych aspektów ochrony granic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 xml:space="preserve">C2 omówienie praktycznych zasad przekraczania granic na podstawie prawa UE </w:t>
              <w:br/>
              <w:t>i analiza tekstu w tym obszarze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C3 rozwijanie umiejętności wykorzystywania zdobytej wiedzy w praktyce, zwłaszcza podstaw przygotowania do służby w Straży Granicznej.</w:t>
            </w:r>
          </w:p>
        </w:tc>
      </w:tr>
    </w:tbl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Efekty uczenia się dla przedmiotu wraz z odniesieniem do efektów kierunkowych</w:t>
      </w:r>
    </w:p>
    <w:p>
      <w:pPr>
        <w:pStyle w:val="ListParagraph"/>
        <w:ind w:left="1080" w:hanging="0"/>
        <w:rPr>
          <w:b/>
          <w:b/>
        </w:rPr>
      </w:pPr>
      <w:r>
        <w:rPr>
          <w:rStyle w:val="Markedcontent"/>
          <w:rFonts w:cs="Arial" w:ascii="Arial" w:hAnsi="Arial"/>
          <w:sz w:val="20"/>
          <w:szCs w:val="20"/>
        </w:rPr>
        <w:t>K_W05, K_U02, K_U03, K_U04,</w:t>
      </w:r>
      <w:r>
        <w:rPr/>
        <w:br/>
      </w:r>
      <w:r>
        <w:rPr>
          <w:rStyle w:val="Markedcontent"/>
          <w:rFonts w:cs="Arial" w:ascii="Arial" w:hAnsi="Arial"/>
          <w:sz w:val="20"/>
          <w:szCs w:val="20"/>
        </w:rPr>
        <w:t>K_U05, K_K03</w:t>
      </w:r>
    </w:p>
    <w:p>
      <w:pPr>
        <w:pStyle w:val="ListParagraph"/>
        <w:ind w:left="108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0"/>
        <w:gridCol w:w="5953"/>
        <w:gridCol w:w="2159"/>
      </w:tblGrid>
      <w:tr>
        <w:trPr/>
        <w:tc>
          <w:tcPr>
            <w:tcW w:w="110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Symbol</w:t>
            </w:r>
          </w:p>
        </w:tc>
        <w:tc>
          <w:tcPr>
            <w:tcW w:w="595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Opis efektu przedmiotowego</w:t>
            </w:r>
          </w:p>
        </w:tc>
        <w:tc>
          <w:tcPr>
            <w:tcW w:w="21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21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W_01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Absolwent posiada wiedzę teoretyczną w zakresie przepisów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Style w:val="Fontstyle01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prawnych dotyczących ochrony granic oraz zna kompetencje i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Style w:val="Fontstyle01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zadania służb unijnych i krajowych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K_W01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W_02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Style w:val="Fontstyle01"/>
                <w:rFonts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Absolwent rozumie istotę i złożony charakter bezpieczeństwa i ochrony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granic wewnętrznych i zewnętrznych Unii Europejskiej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K_W05</w:t>
            </w:r>
          </w:p>
        </w:tc>
      </w:tr>
      <w:tr>
        <w:trPr/>
        <w:tc>
          <w:tcPr>
            <w:tcW w:w="921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U_01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Absolwent potrafi wykorzystywać zdobytą wiedzę teoretyczną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Style w:val="Fontstyle01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do analizowania, diagnozowania, wyjaśniania oraz budowania strategii działań w kwestiach szczegółowych odnoszących się do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Style w:val="Fontstyle01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ochrony granic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K_U01; K_U02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U_02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Absolwent potrafi rozwiązywać konkretne problemy związane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Style w:val="Fontstyle01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 ochroną granic, prognozować działania oraz przewidywać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Style w:val="Fontstyle01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skutki tych że działań, wykorzystując </w:t>
            </w:r>
            <w:r>
              <w:rPr>
                <w:rStyle w:val="Markedcontent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oraz prawidłowo interpretując przepisy prawne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K_U03; K_U04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U_03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Absolwent potrafi prawidłowo oceniać zagrożenia dla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br/>
            </w:r>
            <w:r>
              <w:rPr>
                <w:rStyle w:val="Fontstyle01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bezpieczeństwa wewnętrznego UE oraz identyfikować ich przyczyny na granicach zewnętrznych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K_U05</w:t>
            </w:r>
          </w:p>
        </w:tc>
      </w:tr>
      <w:tr>
        <w:trPr/>
        <w:tc>
          <w:tcPr>
            <w:tcW w:w="921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K_01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Absolwent posiada wiedzę w zakresie stosunków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br/>
            </w:r>
            <w:r>
              <w:rPr>
                <w:rStyle w:val="Fontstyle01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międzynarodowych, która może być wykorzystana w praktyce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Style w:val="Fontstyle01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do zarządzania sytuacjami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Style w:val="Fontstyle01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kryzysowymi na granicach UE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K_K01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K_02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Absolwent jest gotów do wykorzystywania i prawidłowego interpretowania przepisów prawnych  oraz </w:t>
            </w:r>
            <w:r>
              <w:rPr>
                <w:rStyle w:val="Markedcontent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dokonania oceny i samooceny wiedzy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 zakresie ochrony granic UE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K_K05</w:t>
            </w:r>
          </w:p>
        </w:tc>
      </w:tr>
    </w:tbl>
    <w:p>
      <w:pPr>
        <w:pStyle w:val="ListParagraph"/>
        <w:ind w:left="1080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Opis przedmiotu/ treści programowe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1) Istota granic we współczesnym świecie</w:t>
              <w:br/>
              <w:t>2) Rodzaje granic w UE/strefie Schengen</w:t>
              <w:br/>
              <w:t>3) Granice państwowe RP w ustawie o ochronie granicy państwowej</w:t>
              <w:br/>
              <w:t xml:space="preserve">4) Zasady i ograniczenia w przepływie osób przez granice wewnętrzne i zewnętrzne </w:t>
              <w:br/>
              <w:t>5) Unijna administracja graniczna - ESGiP</w:t>
              <w:br/>
              <w:t>6) Tymczasowe przywracanie kontroli na granicach wewnętrznych UE</w:t>
              <w:br/>
              <w:t>7) Zadania Straży Granicznej i współpracy transgranicznej na przykładzie Polski i Ukrainy</w:t>
              <w:br/>
              <w:t>8) Dokumenty uprawniające do przekraczania granic</w:t>
              <w:br/>
              <w:t xml:space="preserve">9) Warunki i limity przewozu towarów </w:t>
              <w:br/>
              <w:t xml:space="preserve">10) Umowy o mrg na przykładzie Polski </w:t>
              <w:br/>
              <w:t>11) Wielkoskalowe systemy informatyczne w operacjach ruchu granicznego: SIS, VIS, Eurodac, EES- system wjazdu/wyjazdu i ETIAS - europejski system informacji o podróżach i zezwoleń na podróż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12) Ochrona granic podczas pandemii covid</w:t>
              <w:br/>
              <w:t>13) Kryzys migracyjny z Białorusią a budowa murów granicznych</w:t>
              <w:br/>
              <w:t>14) Wpływ wojny w Ukrainie na zarządzanie granicami i ułatwienia przekraczania granicy UA-UE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Metody realizacji i weryfikacji efektów uczenia się</w:t>
      </w:r>
    </w:p>
    <w:tbl>
      <w:tblPr>
        <w:tblW w:w="9210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2"/>
        <w:gridCol w:w="2691"/>
        <w:gridCol w:w="2835"/>
        <w:gridCol w:w="2581"/>
      </w:tblGrid>
      <w:tr>
        <w:trPr/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Symbol efektu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Metody dydaktyczne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(lista wyboru)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Metody weryfikacji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(lista wyboru)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Sposoby dokumentacji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(lista wyboru)</w:t>
            </w:r>
          </w:p>
        </w:tc>
      </w:tr>
      <w:tr>
        <w:trPr/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WIEDZA</w:t>
            </w:r>
          </w:p>
        </w:tc>
      </w:tr>
      <w:tr>
        <w:trPr/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W_01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Wykład konwencjonalny, konwersatoryjny, problemowy, udział w konferencjach naukowych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Egzamin /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pisemne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Protokół, Uzupełniony 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oceniony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/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Sprawdzian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pisemny</w:t>
            </w:r>
          </w:p>
        </w:tc>
      </w:tr>
      <w:tr>
        <w:trPr/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W_02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Wykład konwencjonalny, konwersatoryjny, problemowy, udział w konferencjach naukowych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Egzamin /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pisemne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Protokół, Uzupełniony 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oceniony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/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Sprawdzian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pisemny</w:t>
            </w:r>
          </w:p>
        </w:tc>
      </w:tr>
      <w:tr>
        <w:trPr/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UMIEJĘTNOŚCI</w:t>
            </w:r>
          </w:p>
        </w:tc>
      </w:tr>
      <w:tr>
        <w:trPr/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U_01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Dyskusja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Egzamin /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pisemne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Protokół, Uzupełniony 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oceniony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/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Sprawdzian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pisemny</w:t>
            </w:r>
          </w:p>
        </w:tc>
      </w:tr>
      <w:tr>
        <w:trPr/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U_02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Dyskusja,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Burza mózgów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Egzamin /Zaliczenie pisemne, Wykonanie projektu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Protokół, Uzupełniony 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oceniony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/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Sprawdzian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pisemny, Raport z obserwacji</w:t>
            </w:r>
          </w:p>
        </w:tc>
      </w:tr>
      <w:tr>
        <w:trPr/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U_03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Dyskusja,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Burza mózgów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Egzamin /Zaliczenie pisemne, Wykonanie projektu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Protokół, Uzupełniony 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oceniony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/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Sprawdzian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pisemny, Raport z obserwacji</w:t>
            </w:r>
          </w:p>
        </w:tc>
      </w:tr>
      <w:tr>
        <w:trPr/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KOMPETENCJE SPOŁECZNE</w:t>
            </w:r>
          </w:p>
        </w:tc>
      </w:tr>
      <w:tr>
        <w:trPr/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K_01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Metoda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Prezentacja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Protokół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, Karta oceny prezentacji</w:t>
            </w:r>
          </w:p>
        </w:tc>
      </w:tr>
      <w:tr>
        <w:trPr/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K_02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Praca w grupach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Referat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Protokół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, Karta oceny pracy w grupie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Kryteria oceny, uwagi…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Ocena końcowa składa się z 2 komponentów/elementów: ocena z testu pisemnego (80%) oraz aktywność, praca w grupach i obecności (20%). Wartością dodaną oceny będzie również fakultatywne wykonanie i przedstawienie prezentacji tematycznych.</w:t>
        <w:br/>
        <w:t xml:space="preserve">ocena 3,0 (45%) </w:t>
        <w:br/>
        <w:t xml:space="preserve">ocena 3,5 (55%) </w:t>
        <w:br/>
        <w:t xml:space="preserve">ocena 4,0 (65%) </w:t>
        <w:br/>
        <w:t xml:space="preserve">ocena 4,5 (75 %) </w:t>
        <w:br/>
        <w:t>ocena 5,0 (85%)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Obciążenie pracą studenta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6"/>
        <w:gridCol w:w="4605"/>
      </w:tblGrid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Forma aktywności studenta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Liczba godzin kontaktowych z nauczycielem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30 + 15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45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Literatura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OBOWIĄZKOWE AKTY PRAWNE:</w:t>
              <w:br/>
              <w:t>1.Traktat o funkcjonowaniu Unii Europejskiej (TFUE)</w:t>
              <w:br/>
              <w:t>2. Traktat o Unii Europejskiej (TUE)</w:t>
              <w:br/>
              <w:t>3. Rozporządzenie Parlamentu Europejskiego i Rady (UE) 2016/399 z dnia 9 marca 2016 r. w sprawie unijnego kodeksu zasad regulujących przepływ osób przez granice (kodeks graniczny Schengen)Dz. U. L 77, 23.3.2016</w:t>
              <w:br/>
              <w:t>4. Dyrektywa 2004/38/WE Parlamentu Europejskiego i Rady z dnia 29 kwietnia 2004 r. w sprawie prawa obywateli Unii i członków ich rodzin do swobodnego, Dz.U. L 158 z 30.4.2004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 xml:space="preserve">5. Ustawa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 dnia 12 października 1990 r. o ochronie granicy państwowej, Dz.U.2022.295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Style w:val="Wyrnieni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 xml:space="preserve">6.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Komunikat Komisji z 4 marca 2022 r. zawierający wytyczne operacyjne dotyczące zarządzania granicami zewnętrznymi w celu ułatwienia przekraczania granicy między UE a Ukrainą 2022/C 104 I/0; C/2022/1404; </w:t>
            </w:r>
            <w:r>
              <w:rPr>
                <w:rStyle w:val="Wyrnienie"/>
                <w:rFonts w:eastAsia="Calibri" w:cs="Times New Roman" w:ascii="Times New Roman" w:hAnsi="Times New Roman"/>
                <w:i w:val="false"/>
                <w:kern w:val="0"/>
                <w:sz w:val="24"/>
                <w:szCs w:val="24"/>
                <w:lang w:val="pl-PL" w:eastAsia="en-US" w:bidi="ar-SA"/>
              </w:rPr>
              <w:t>OJ C 104I.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/>
                <w:i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Obowiązkowa literatura: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 xml:space="preserve">1. Szachoń-Pszenny A., </w:t>
            </w: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pl-PL" w:eastAsia="pl-PL" w:bidi="ar-SA"/>
              </w:rPr>
              <w:t>Acquis Schengen a granice wewnętrzne i zewnętrzne Unii Europejskiej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, Poznań 2011.</w:t>
              <w:br/>
              <w:t xml:space="preserve">2. Maksimczuk A., Sidorowicz L., </w:t>
            </w: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pl-PL" w:eastAsia="pl-PL" w:bidi="ar-SA"/>
              </w:rPr>
              <w:t>Graniczna obsługa ruchu osobowego i towarowego w Unii Europejskiej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 xml:space="preserve"> (wybrane aspekty), Warszawa 2008.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 xml:space="preserve">1.  Dubaj S., Kuś A., Witkowski P., </w:t>
            </w: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pl-PL" w:eastAsia="pl-PL" w:bidi="ar-SA"/>
              </w:rPr>
              <w:t xml:space="preserve">Zasady i ograniczenia w przepływie osób </w:t>
              <w:br/>
              <w:t>i towarów w Unii Europejskiej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, Zamość 2008.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i/>
        <w:i/>
      </w:rPr>
    </w:pPr>
    <w:r>
      <w:rPr>
        <w:i/>
      </w:rPr>
      <w:t>Załącznik nr 5 do dokumentacji programowej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2">
    <w:name w:val="Heading 2"/>
    <w:basedOn w:val="Normal"/>
    <w:link w:val="Nagwek2Znak"/>
    <w:uiPriority w:val="9"/>
    <w:qFormat/>
    <w:rsid w:val="00a72bb4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"/>
    <w:link w:val="Nagwek3Znak"/>
    <w:uiPriority w:val="9"/>
    <w:qFormat/>
    <w:rsid w:val="00a72bb4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Łącze internetowe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04272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04272"/>
    <w:rPr>
      <w:rFonts w:ascii="Tahoma" w:hAnsi="Tahoma" w:cs="Tahoma"/>
      <w:sz w:val="16"/>
      <w:szCs w:val="16"/>
    </w:rPr>
  </w:style>
  <w:style w:type="character" w:styleId="Nagwek2Znak" w:customStyle="1">
    <w:name w:val="Nagłówek 2 Znak"/>
    <w:basedOn w:val="DefaultParagraphFont"/>
    <w:link w:val="Nagwek2"/>
    <w:uiPriority w:val="9"/>
    <w:qFormat/>
    <w:rsid w:val="00a72bb4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Nagwek3Znak" w:customStyle="1">
    <w:name w:val="Nagłówek 3 Znak"/>
    <w:basedOn w:val="DefaultParagraphFont"/>
    <w:link w:val="Nagwek3"/>
    <w:uiPriority w:val="9"/>
    <w:qFormat/>
    <w:rsid w:val="00a72bb4"/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Fontstyle01" w:customStyle="1">
    <w:name w:val="fontstyle01"/>
    <w:basedOn w:val="DefaultParagraphFont"/>
    <w:qFormat/>
    <w:rsid w:val="00682966"/>
    <w:rPr>
      <w:rFonts w:ascii="Calibri" w:hAnsi="Calibri" w:cs="Calibri"/>
      <w:b w:val="false"/>
      <w:bCs w:val="false"/>
      <w:i w:val="false"/>
      <w:iCs w:val="false"/>
      <w:color w:val="000000"/>
      <w:sz w:val="22"/>
      <w:szCs w:val="22"/>
    </w:rPr>
  </w:style>
  <w:style w:type="character" w:styleId="Wyrnienie">
    <w:name w:val="Wyróżnienie"/>
    <w:basedOn w:val="DefaultParagraphFont"/>
    <w:uiPriority w:val="20"/>
    <w:qFormat/>
    <w:rsid w:val="00d06a90"/>
    <w:rPr>
      <w:i/>
      <w:iCs/>
    </w:rPr>
  </w:style>
  <w:style w:type="character" w:styleId="Markedcontent" w:customStyle="1">
    <w:name w:val="markedcontent"/>
    <w:basedOn w:val="DefaultParagraphFont"/>
    <w:qFormat/>
    <w:rsid w:val="00b44628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57125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F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FC1B8-E544-4114-9C34-D79B37C2A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Application>LibreOffice/7.2.6.2$Windows_X86_64 LibreOffice_project/b0ec3a565991f7569a5a7f5d24fed7f52653d754</Application>
  <AppVersion>15.0000</AppVersion>
  <Pages>4</Pages>
  <Words>870</Words>
  <Characters>5663</Characters>
  <CharactersWithSpaces>6373</CharactersWithSpaces>
  <Paragraphs>165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2019-01-14T10:35:00Z</dcterms:created>
  <dc:creator>Anna Łukasiewicz</dc:creator>
  <dc:description/>
  <dc:language>pl-PL</dc:language>
  <cp:lastModifiedBy/>
  <cp:lastPrinted>2019-01-23T11:10:00Z</cp:lastPrinted>
  <dcterms:modified xsi:type="dcterms:W3CDTF">2022-12-22T12:15:23Z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