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KARTA PRZEDMIOTU 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Etyka zawodowa 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Professional Ethics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stacjonarne 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222222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dr Aleksandra Kuczyńska-Zonik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6"/>
        <w:gridCol w:w="2256"/>
        <w:gridCol w:w="2261"/>
        <w:gridCol w:w="2258"/>
      </w:tblGrid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Brak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C1: Przedstawienie globalnych problemów etycznych w kontekście etyki w państwie demokratycznym.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C2: Diagnoza systemu wartości pracowników służb cywilnych, administracyjnych, naukowych i służb dyplomatycznych.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C3: Ocena moralności i systemów etycznych obecnych we współczesnym życiu politycznym i publicznym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.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34"/>
        <w:gridCol w:w="2137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Absolwent posiada pogłębioną wiedzę o współczesnych systemach etycznych; rozumie rolę etyki w rozwiniętych demokracjach.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W_06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Absolwent stosuje kryterium etyczne w swojej pracy analityczno-badawczej i pracy zawodowej. Absolwent potrafi </w:t>
            </w: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w sposób zwięzły komunikować się oraz  prowadzić negocjacje z otoczeniem.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U_010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34" w:hanging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przestrzega zasad etycznych oraz potrafi formułować krytyczne i przemyślane oceny stosunków międzynarodowych.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</w:tr>
    </w:tbl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 Etyka, moralność: definicje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 Etyka pracownika naukowego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 Etyka w mediach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4. Etyka służby cywilnej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5. Etyka w stosunkach międzynarodowych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6. Etyka a polityka. Etyka dyplomaty</w:t>
            </w:r>
          </w:p>
        </w:tc>
      </w:tr>
    </w:tbl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57"/>
        <w:gridCol w:w="2773"/>
        <w:gridCol w:w="2540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7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Konwersatorium (dyskusja, prezentacje, praca w grupach), service learning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Konwersatorium (dyskusja, prezentacje, praca w grupach), service learning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Konwersatorium (dyskusja, prezentacje, praca w grupach), service learning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Kryteria oceny, wagi…</w:t>
      </w:r>
    </w:p>
    <w:p>
      <w:pPr>
        <w:pStyle w:val="Normal"/>
        <w:ind w:left="360" w:hanging="0"/>
        <w:rPr>
          <w:rFonts w:cs="Calibri" w:cstheme="minorHAnsi"/>
          <w:bCs/>
        </w:rPr>
      </w:pPr>
      <w:r>
        <w:rPr>
          <w:rFonts w:cs="Calibri" w:cstheme="minorHAnsi"/>
          <w:bCs/>
        </w:rPr>
        <w:t>Aktywność na zajęciach: 40%</w:t>
      </w:r>
    </w:p>
    <w:p>
      <w:pPr>
        <w:pStyle w:val="Normal"/>
        <w:ind w:left="360" w:hanging="0"/>
        <w:rPr>
          <w:rFonts w:cs="Calibri" w:cstheme="minorHAnsi"/>
          <w:bCs/>
        </w:rPr>
      </w:pPr>
      <w:r>
        <w:rPr>
          <w:rFonts w:cs="Calibri" w:cstheme="minorHAnsi"/>
          <w:bCs/>
        </w:rPr>
        <w:t>Zaliczenie: 60%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9"/>
        <w:gridCol w:w="4522"/>
      </w:tblGrid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E. Modzelewski, Etyka a polityka, Warszawa 2006, s. 5-19.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J. Itrich-Drabarek, Etyka zawodowa funkcjonariuszy służb państwowych, Warszawa 2011.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A. Szteliga, Etykieta zawodowa i protokół dyplomatyczny, Katowice 2018.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M. Migoń, Wstęp do etyki. Skrypt, Gdańsk, 2013.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A. Krzynówek-Arndt, Kryterium etyczne w koncepcji racji stanu, Kraków 2013.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M. Drygiel, Aspekt etyczny w stosunkach międzynarodowych, „Doctrina. Studia społeczno-polityczne” 2010, nr 7, s. 37-43.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6ce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66ce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66ce5"/>
    <w:rPr/>
  </w:style>
  <w:style w:type="character" w:styleId="Czeinternetowe" w:customStyle="1">
    <w:name w:val="Łącze internetowe"/>
    <w:basedOn w:val="DefaultParagraphFont"/>
    <w:uiPriority w:val="99"/>
    <w:unhideWhenUsed/>
    <w:rsid w:val="003e2bd8"/>
    <w:rPr>
      <w:color w:val="0563C1" w:themeColor="hyperlink"/>
      <w:u w:val="single"/>
    </w:rPr>
  </w:style>
  <w:style w:type="character" w:styleId="Wyrnienie" w:customStyle="1">
    <w:name w:val="Wyróżnienie"/>
    <w:basedOn w:val="DefaultParagraphFont"/>
    <w:uiPriority w:val="20"/>
    <w:qFormat/>
    <w:rsid w:val="003e2bd8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f66ce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f66ce5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f66ce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66c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LibreOffice/7.2.6.2$Windows_X86_64 LibreOffice_project/b0ec3a565991f7569a5a7f5d24fed7f52653d754</Application>
  <AppVersion>15.0000</AppVersion>
  <Pages>5</Pages>
  <Words>392</Words>
  <Characters>2788</Characters>
  <CharactersWithSpaces>3072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2022-11-21T09:23:00Z</dcterms:created>
  <dc:creator>Aleksandra Kuczyńska-Zonik</dc:creator>
  <dc:description/>
  <dc:language>pl-PL</dc:language>
  <cp:lastModifiedBy/>
  <dcterms:modified xsi:type="dcterms:W3CDTF">2022-11-24T14:34:41Z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