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Europa Środkowa w polityce międzynarodowej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Central Europe in international politics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2222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dr Grzegorz Tutak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C1: Przedstawienie globalnych problemów etycznych w kontekście etyki w państwie demokratycznym.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C2: Diagnoza systemu wartości pracowników służb cywilnych, administracyjnych, naukowych i służb dyplomatycznych.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C3: Ocena moralności i systemów etycznych obecnych we współczesnym życiu politycznym i publicznym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rozumie istotę oraz uwarunkowania relacji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międzynarodowych stosunków politycznych, ekonomicznych, społecznych, kulturowych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KW04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Wykorzystuje zdobytą wiedzę do analizowania, diagnozowania wyjaśniania relacji międzynarodowych zachodzących w państwach regionu.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definiować problemy i prognozować działania oraz przewidywać ich skutki w zakresie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samodzielnie zdobywać wiedzę i doskonalić umiejętności oraz rozumie potrzebę stałego dokształcania się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KU_09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ind w:left="34" w:hanging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Student jest świadomy konieczności podnoszenia kwalifikacji i doskonalenia wiedzy _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0"/>
              <w:ind w:left="3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jest świadomy zasad etycznych i konieczności ich uwzględniania w działaniach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KK_01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Zagadnienia przedmiotu obejmują: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ujęcie regionu z perspektywy historyczne, kulturowej, geograficznej i politycznej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inicjatywy integracyjne w Europie Środkowej ( UE, grupa Wyszehradzka, Inicjatywa Trójmorza)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problemy, wyzwania i zagrożenia w Europie Środkowej oraz rola NATO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Europa Środkowa w polityce Stanów Zjednoczonych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W_01, 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analiza tekstów źródłowych, , dyskusja Obserwacja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Obserwacja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tekstów źródłowych,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prezentacje, praca w grupach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analiza tekstów źródłowych, prezentacje studentów,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Obserwacja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tekstów źródłowych, prezentacje studentów,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Obserwacja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Protokół 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Referat,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Referat, 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spacing w:before="0" w:after="0"/>
        <w:rPr/>
      </w:pPr>
      <w:r>
        <w:rPr/>
        <w:t xml:space="preserve">Na ocenę końcową wpływ ma: </w:t>
      </w:r>
    </w:p>
    <w:p>
      <w:pPr>
        <w:pStyle w:val="Normal"/>
        <w:spacing w:before="0" w:after="0"/>
        <w:rPr/>
      </w:pPr>
      <w:r>
        <w:rPr/>
        <w:t xml:space="preserve">- aktywność studenta podczas zajęć, </w:t>
      </w:r>
    </w:p>
    <w:p>
      <w:pPr>
        <w:pStyle w:val="Normal"/>
        <w:spacing w:before="0" w:after="0"/>
        <w:rPr/>
      </w:pPr>
      <w:r>
        <w:rPr/>
        <w:t xml:space="preserve">- ocena z zaliczenia ustnego, </w:t>
      </w:r>
    </w:p>
    <w:p>
      <w:pPr>
        <w:pStyle w:val="Normal"/>
        <w:spacing w:before="0" w:after="0"/>
        <w:rPr/>
      </w:pPr>
      <w:r>
        <w:rPr/>
        <w:t xml:space="preserve">- obecność; </w:t>
      </w:r>
    </w:p>
    <w:p>
      <w:pPr>
        <w:pStyle w:val="Normal"/>
        <w:rPr/>
      </w:pPr>
      <w:r>
        <w:rPr>
          <w:b/>
          <w:bCs/>
        </w:rPr>
        <w:t>VI</w:t>
      </w:r>
      <w:r>
        <w:rPr/>
        <w:t xml:space="preserve">. </w:t>
      </w: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Matla, L. Németh Vítová (red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.), Europa Środkowa : podobieństwa, różnice, perspektywy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Poznań 2014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E. Zenderwski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Europa Środkowa - wspólnota czy zbiorowość?,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Wrocław 2004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 xml:space="preserve">Ł. Wojcieszek, </w:t>
            </w:r>
            <w:r>
              <w:rPr>
                <w:rFonts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Europa Środkowa i Wschodnia wobec wybranych problemów bezpieczeństwa energetycznego</w:t>
            </w: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, Poznań 2018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K. Świder, Europa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Środkowa jako obszar projektowania geopolitycznego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„Studia Europejskie” 2018, vol. 86;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S. Parzymies,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Stosunki międzynarodowe w Europie 1945-2019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,Warszawa 2020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M. Urbański, K. Dołęga,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Regionalny wymiar bezpieczeństwa na przykładzie Grupy Wyszehradzkiej w kontekście przynależności do Organizacji Traktatu Północnoatlantyckiego i Unii Europejskiej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„Obronność. Zeszyty naukowe” 2016, nr 1(17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A. Krzynówek-Arndt,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Kryterium etyczne w koncepcji racji stanu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Kraków 2013.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M. Drygiel,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Aspekt etyczny w stosunkach międzynarodowych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„Doctrina. Studia społeczno-polityczne” 2010, nr 7, s. 37-43.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6c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66c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66ce5"/>
    <w:rPr/>
  </w:style>
  <w:style w:type="character" w:styleId="Czeinternetowe" w:customStyle="1">
    <w:name w:val="Łącze internetowe"/>
    <w:basedOn w:val="DefaultParagraphFont"/>
    <w:uiPriority w:val="99"/>
    <w:unhideWhenUsed/>
    <w:rsid w:val="003e2bd8"/>
    <w:rPr>
      <w:color w:val="0563C1" w:themeColor="hyperlink"/>
      <w:u w:val="single"/>
    </w:rPr>
  </w:style>
  <w:style w:type="character" w:styleId="Wyrnienie" w:customStyle="1">
    <w:name w:val="Wyróżnienie"/>
    <w:basedOn w:val="DefaultParagraphFont"/>
    <w:uiPriority w:val="20"/>
    <w:qFormat/>
    <w:rsid w:val="003e2bd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6ce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f66c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6c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4</Pages>
  <Words>531</Words>
  <Characters>3811</Characters>
  <CharactersWithSpaces>4219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2022-11-23T08:58:00Z</dcterms:created>
  <dc:creator>Aleksandra Kuczyńska-Zonik</dc:creator>
  <dc:description/>
  <dc:language>pl-PL</dc:language>
  <cp:lastModifiedBy>Grzesiek Tutak</cp:lastModifiedBy>
  <dcterms:modified xsi:type="dcterms:W3CDTF">2022-11-27T15:36:00Z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