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 2022/2023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Konflikty i zagrożenia asymetryczne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Asymmetrical Conflicts and Threats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hab. Marcin Kosienkowski. prof. KUL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1"/>
        <w:gridCol w:w="6850"/>
      </w:tblGrid>
      <w:tr>
        <w:trPr/>
        <w:tc>
          <w:tcPr>
            <w:tcW w:w="22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W1 – znajomość zagadnień dotyczących bezpieczeństwa międzynarodowego.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W2 – zainteresowanie problematyką.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W3 – umiejętność rzeczowej dyskusji.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– Zapoznanie studentów z problemami konfliktów i zagrożeń asymetrycznych i działaniami na rzecz ich zwalczania.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32"/>
        <w:gridCol w:w="2137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uwarunkowania stosunków międzynarodowych, szczególnie w obszarze dotyczącym bezpieczeństwa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główne kierunki ewolucji stosunków międzynarodowych, szczególnie w obszarze dotyczącym bezpieczeństwa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W_05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wykorzystywać posiadaną, pogłębioną wiedzę i kompetencje do analizowania, diagnozowania, wyjaśniania oraz prognozowania kwestii szczegółowych związanych z wykonywaniem zawodu odnoszącego się do realizacji stosunków międzynarodowych, szczególnie w obszarze dotyczącym bezpieczeństwa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przygotować w sposób profesjonalny wystąpienia w języku polskim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U_06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jest gotów do samodzielnego integrowania nabytej wiedzy i kompetencji oraz podejmowania w zorganizowany sposób nowych i kompleksowych działań, także w warunkach ograniczonego dostępu do potrzebnych informacji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K_04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Kwestie pojęciowe.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 xml:space="preserve">Walka informacyjna. 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Broń masowego rażenia.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Terroryzm międzynarodowy.</w:t>
            </w:r>
            <w:r>
              <w:rPr>
                <w:rFonts w:eastAsia="Calibri" w:cs="" w:ascii="Times New Roman" w:hAnsi="Times New Roman"/>
                <w:color w:val="FF0000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Przestępczość transnarodowa.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Piractwo morskie.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Państwa de facto (ruchy separatystyczne).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Konflikty asymetryczne z udziałem państw.</w:t>
            </w:r>
            <w:r>
              <w:rPr>
                <w:rFonts w:eastAsia="Calibri" w:cs="" w:ascii="Times New Roman" w:hAnsi="Times New Roman"/>
                <w:color w:val="FF0000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56"/>
        <w:gridCol w:w="2773"/>
        <w:gridCol w:w="2540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Wykład konwersatoryjny /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Wykład konwersatoryjny /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rPr>
          <w:bCs/>
        </w:rPr>
      </w:pPr>
      <w:r>
        <w:rPr>
          <w:bCs/>
        </w:rPr>
        <w:t>Ocena w oparciu o egzamin ustny (wykład) oraz o przedstawioną prezentację, aktywny udział w zajęciach i frekwencję (ćwiczenia).</w:t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135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 xml:space="preserve">Marek Madej, </w:t>
            </w:r>
            <w:r>
              <w:rPr>
                <w:rFonts w:eastAsia="Calibri" w:cs="" w:ascii="Times New Roman" w:hAnsi="Times New Roman"/>
                <w:i/>
                <w:kern w:val="0"/>
                <w:sz w:val="24"/>
                <w:szCs w:val="22"/>
                <w:lang w:val="pl-PL" w:eastAsia="en-US" w:bidi="ar-SA"/>
              </w:rPr>
              <w:t>Zagrożenia asymetryczne bezpieczeństwa państw obszaru transatlantyckiego</w:t>
            </w: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, Warszawa 2007.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 xml:space="preserve">Marcin Kosienkowski, </w:t>
            </w:r>
            <w:r>
              <w:rPr>
                <w:rFonts w:eastAsia="Calibri" w:cs="" w:ascii="Times New Roman" w:hAnsi="Times New Roman"/>
                <w:i/>
                <w:iCs/>
                <w:kern w:val="0"/>
                <w:sz w:val="24"/>
                <w:szCs w:val="22"/>
                <w:lang w:val="pl-PL" w:eastAsia="en-US" w:bidi="ar-SA"/>
              </w:rPr>
              <w:t>Współpraca społeczności międzynarodowej z państwami de facto. Studium przypadków</w:t>
            </w: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, Lublin 2018.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 xml:space="preserve">Piotr Gawliczek, Jacek Pawłowski, </w:t>
            </w:r>
            <w:r>
              <w:rPr>
                <w:rFonts w:eastAsia="Calibri" w:cs="" w:ascii="Times New Roman" w:hAnsi="Times New Roman"/>
                <w:i/>
                <w:kern w:val="0"/>
                <w:sz w:val="24"/>
                <w:szCs w:val="22"/>
                <w:lang w:val="pl-PL" w:eastAsia="en-US" w:bidi="ar-SA"/>
              </w:rPr>
              <w:t>Zagrożenia asymetryczne</w:t>
            </w: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, Warszawa 2003.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Krzysztof Rokiciński</w:t>
            </w:r>
            <w:r>
              <w:rPr>
                <w:rFonts w:eastAsia="Calibri" w:cs="" w:ascii="Times New Roman" w:hAnsi="Times New Roman"/>
                <w:i/>
                <w:kern w:val="0"/>
                <w:sz w:val="24"/>
                <w:szCs w:val="22"/>
                <w:lang w:val="pl-PL" w:eastAsia="en-US" w:bidi="ar-SA"/>
              </w:rPr>
              <w:t>, Zagrożenia asymetryczne w Regionie Bałtyckim</w:t>
            </w: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, Warszawa 2006.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 xml:space="preserve">Piotr Gawliczek, </w:t>
            </w:r>
            <w:r>
              <w:rPr>
                <w:rFonts w:eastAsia="Calibri" w:cs="" w:ascii="Times New Roman" w:hAnsi="Times New Roman"/>
                <w:i/>
                <w:kern w:val="0"/>
                <w:sz w:val="24"/>
                <w:szCs w:val="22"/>
                <w:lang w:val="pl-PL" w:eastAsia="en-US" w:bidi="ar-SA"/>
              </w:rPr>
              <w:t>Asymetria w środowisku bezpieczeństwa</w:t>
            </w: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, Warszawa 2009.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4"/>
                <w:szCs w:val="22"/>
                <w:lang w:val="pl-PL" w:eastAsia="en-US" w:bidi="ar-SA"/>
              </w:rPr>
              <w:t>Zagrożenia asymetryczne współczesnego świata</w:t>
            </w: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, red. Sebastian Wojciechowski, Radosław Fiedler, Poznań 2009.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 xml:space="preserve">Marcin Kosienkowski, </w:t>
            </w:r>
            <w:r>
              <w:rPr>
                <w:rFonts w:eastAsia="Calibri" w:cs="" w:ascii="Times New Roman" w:hAnsi="Times New Roman"/>
                <w:i/>
                <w:iCs/>
                <w:kern w:val="0"/>
                <w:sz w:val="24"/>
                <w:szCs w:val="22"/>
                <w:lang w:val="pl-PL" w:eastAsia="en-US" w:bidi="ar-SA"/>
              </w:rPr>
              <w:t>Naddniestrzańska Republika Mołdawska. Determinanty przetrwania</w:t>
            </w: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, Toruń 2010.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 xml:space="preserve">Katarzyna Wardin, </w:t>
            </w:r>
            <w:r>
              <w:rPr>
                <w:rFonts w:eastAsia="Calibri" w:cs="" w:ascii="Times New Roman" w:hAnsi="Times New Roman"/>
                <w:i/>
                <w:iCs/>
                <w:kern w:val="0"/>
                <w:sz w:val="24"/>
                <w:szCs w:val="22"/>
                <w:lang w:val="pl-PL" w:eastAsia="en-US" w:bidi="ar-SA"/>
              </w:rPr>
              <w:t>Współczesne piractwo morskie. Wyzwanie somalijskie oraz odpowiedź społeczności międzynarodowej</w:t>
            </w: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, Warszawa 2012.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360" w:leader="none"/>
                <w:tab w:val="left" w:pos="840" w:leader="none"/>
              </w:tabs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bookmarkStart w:id="0" w:name="_Hlk122524741"/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 xml:space="preserve">Bogusław Pacek, </w:t>
            </w:r>
            <w:r>
              <w:rPr>
                <w:rFonts w:eastAsia="Calibri" w:cs="" w:ascii="Times New Roman" w:hAnsi="Times New Roman"/>
                <w:i/>
                <w:iCs/>
                <w:kern w:val="0"/>
                <w:sz w:val="24"/>
                <w:szCs w:val="22"/>
                <w:lang w:val="pl-PL" w:eastAsia="en-US" w:bidi="ar-SA"/>
              </w:rPr>
              <w:t>Wojna hybrydowa na Ukrainie</w:t>
            </w: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, Warszawa 2018.</w:t>
            </w:r>
            <w:bookmarkEnd w:id="0"/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LibreOffice/7.0.2.2$Windows_X86_64 LibreOffice_project/8349ace3c3162073abd90d81fd06dcfb6b36b994</Application>
  <Pages>5</Pages>
  <Words>503</Words>
  <Characters>3693</Characters>
  <CharactersWithSpaces>4049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2021-12-03T12:23:00Z</dcterms:created>
  <dc:creator>Anna Łukasiewicz</dc:creator>
  <dc:description/>
  <dc:language>pl-PL</dc:language>
  <cp:lastModifiedBy>Marcin Kosienkowski</cp:lastModifiedBy>
  <cp:lastPrinted>2019-01-23T11:10:00Z</cp:lastPrinted>
  <dcterms:modified xsi:type="dcterms:W3CDTF">2023-02-11T11:04:00Z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