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Cykl kształcenia od roku akademickiego: 2022/2023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517"/>
      </w:tblGrid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Nowa polityka gospodarcza Unii Europejskiej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New economic policy of the European Union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Kierunek studiów 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Stosunki międzynarodowe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Nauki o polityce i administracji, nauki prawne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4527"/>
      </w:tblGrid>
      <w:tr>
        <w:trPr/>
        <w:tc>
          <w:tcPr>
            <w:tcW w:w="4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 Anna Szachoń-Pszenny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7"/>
        <w:gridCol w:w="2256"/>
        <w:gridCol w:w="2260"/>
        <w:gridCol w:w="2258"/>
      </w:tblGrid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3"/>
        <w:gridCol w:w="6848"/>
      </w:tblGrid>
      <w:tr>
        <w:trPr/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Podstawowa wiedza z zakresu integracji europejskiej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kształcenia dla przedmiotu </w:t>
      </w:r>
    </w:p>
    <w:tbl>
      <w:tblPr>
        <w:tblStyle w:val="Tabela-Siatka"/>
        <w:tblW w:w="181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  <w:gridCol w:w="9061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ind w:left="-6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C1  z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apoznanie studentów ze zmianami zachodzącymi w sferze społeczno-gospodarczej Unii Europejskiej</w:t>
            </w:r>
          </w:p>
        </w:tc>
        <w:tc>
          <w:tcPr>
            <w:tcW w:w="90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C2 omówienie praktycznych zasad rynku wewnętrznego UE i innowacyjnych rozwiązań w tym zakresie</w:t>
            </w:r>
          </w:p>
        </w:tc>
        <w:tc>
          <w:tcPr>
            <w:tcW w:w="90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C3 rozwijanie umiejętności wykorzystywania zdobytej wiedzy w praktyce, klasyfikacja i przykłady nowych rozwiązań w polityce gospodarczej UE.</w:t>
            </w:r>
          </w:p>
        </w:tc>
        <w:tc>
          <w:tcPr>
            <w:tcW w:w="90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Odniesienie do efektu kierunkowego</w:t>
            </w:r>
          </w:p>
        </w:tc>
      </w:tr>
    </w:tbl>
    <w:tbl>
      <w:tblPr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2"/>
        <w:gridCol w:w="5832"/>
        <w:gridCol w:w="2137"/>
      </w:tblGrid>
      <w:tr>
        <w:trPr/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WIEDZA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posiada wiedzę z zakresu polityki gospodarczej UE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K_W01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zna i rozumie wpływ wyzwań cywilizacyjnych na funkcjonowanie instytucji gospodarczych UE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K_W03, K_W05</w:t>
            </w:r>
          </w:p>
        </w:tc>
      </w:tr>
      <w:tr>
        <w:trPr/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UMIEJĘTNOŚCI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wykorzystuje wiedzę i kompetencje do analizowania, rozwiązywania oraz prognozowania kwestii odnoszących się do polityki gospodarczej UE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K_U03, K_U04</w:t>
            </w:r>
          </w:p>
        </w:tc>
      </w:tr>
      <w:tr>
        <w:trPr/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KOMPETENCJE SPOŁECZNE</w:t>
            </w:r>
          </w:p>
        </w:tc>
      </w:tr>
      <w:tr>
        <w:trPr/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5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jest gotów do realizacji zadań i oczekiwań społecznych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K_K02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Zasady rynku wewnętrznego w nowej polityce gospodarczej UE</w:t>
              <w:br/>
              <w:t>2. Swobodny przepływ osób i rosnące korzyści „obszaru bez granic”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3. Prawa obywateli UE i członków ich rodzin</w:t>
              <w:br/>
              <w:t>4. Strefa Schengen, idea e-border</w:t>
              <w:br/>
              <w:t>5. Zasady przekraczania granic w wymiarze osobowym i towarowym - cyberzagrożenia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br/>
              <w:t>6. Swobodny przepływ usług, digitalizacja świadczenia usług w UE</w:t>
              <w:br/>
              <w:t>7. Swobodny przepływ kapitału i płatności- bezpieczeństwo transakcji internetowych</w:t>
              <w:br/>
              <w:t>8. Praktyczne korzystanie z praw obywatela UE</w:t>
              <w:br/>
              <w:t>9. Innowacyjne rozwiązania dla bezpieczeństwa granic</w:t>
              <w:br/>
              <w:t>10. Wybrane polityki UE - polityka migracyjna</w:t>
              <w:br/>
              <w:t>11. Wybrane polityki UE - wspólna polityka handlowa</w:t>
              <w:br/>
              <w:t>12. Systemy satelitarne w ochronie granic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13. Systemy wielkoskalowe w nowej polityce gospodarczej UE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14. Dyrektywa work-life balance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 Metody realizacji i weryfikacji efektów uczenia się</w:t>
      </w:r>
    </w:p>
    <w:tbl>
      <w:tblPr>
        <w:tblW w:w="921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2"/>
        <w:gridCol w:w="2691"/>
        <w:gridCol w:w="2835"/>
        <w:gridCol w:w="2581"/>
      </w:tblGrid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dydaktyczne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weryfikacji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Sposoby dokumentacji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WIEDZA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problemowy, udział w konferencjach naukowych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pisemne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pisemny 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problemowy, udział w konferencjach naukowych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UMIEJĘTNOŚCI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Burza mózgów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KOMPETENCJE SPOŁECZNE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Metoda projektu, 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Prezentacja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Karta oceny prezentacji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Kryteria oceny, uwagi…</w:t>
      </w:r>
    </w:p>
    <w:p>
      <w:pPr>
        <w:pStyle w:val="Normal"/>
        <w:rPr>
          <w:b/>
          <w:b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Ocena końcowa składa się z 2 komponentów/elementów: ocena z testu pisemnego (80%) oraz aktywność, praca w grupach i obecności (20%). Wartością dodaną oceny będzie również wykonanie i przedstawienie prezentacji.</w:t>
        <w:br/>
        <w:t xml:space="preserve">ocena 3,0 (45%) </w:t>
        <w:br/>
        <w:t xml:space="preserve">ocena 3,5 (55%) </w:t>
        <w:br/>
        <w:t xml:space="preserve">ocena 4,0 (65%) </w:t>
        <w:br/>
        <w:t xml:space="preserve">ocena 4,5 (75 %) </w:t>
        <w:br/>
        <w:t>ocena 5,0 (85%)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VII. 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VIII. 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OBOWIĄZKOWE AKTY PRAWNE:</w:t>
              <w:br/>
              <w:t>1..Traktat o funkcjonowaniu Unii Europejskiej (TFUE)</w:t>
              <w:br/>
              <w:t>2. Traktat o Unii Europejskiej (TUE)</w:t>
              <w:br/>
              <w:t>3. Dyrektywa 2004/38/WE Parlamentu Europejskiego i Rady z dnia 29 kwietnia 2004 r. w sprawie prawa obywateli Unii i członków ich rodzin do swobodnego, Dz.U. L 158 z 30.4.2004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Obowiązkowa literatura: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1. Kuś A. (red.),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>Prawo materialne Unii Europejskiej w zarysie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, Lublin 2011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 W. Welfe (red), Gospodarka oparta na wiedzy, Warszawa 2007.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A. Mania, B. Płonka, Do jakiej Unii zmierzamy? Polityka i gospodarka Unii Europejskiej, Kraków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3. A. Zawidzka-Łojek, R. Grzeszczak (red.),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>Prawo materialne Unii Europejskiej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, Warszawa 2012.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1122b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d41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BEFA-5317-496B-B065-CE2590E7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Application>LibreOffice/7.2.6.2$Windows_X86_64 LibreOffice_project/b0ec3a565991f7569a5a7f5d24fed7f52653d754</Application>
  <AppVersion>15.0000</AppVersion>
  <Pages>4</Pages>
  <Words>611</Words>
  <Characters>4005</Characters>
  <CharactersWithSpaces>4492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/>
  <cp:lastPrinted>2019-01-23T11:10:00Z</cp:lastPrinted>
  <dcterms:modified xsi:type="dcterms:W3CDTF">2022-12-22T12:13:11Z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