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Prawo dyplomatyczne i konsularne 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Cs w:val="22"/>
                <w:lang w:val="en-GB" w:eastAsia="en-US" w:bidi="ar-SA"/>
              </w:rPr>
              <w:t>Diplomatic and Consular Law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Stosunki międzynarodowe 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II stopnia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mgr Piotr Majchrzak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2"/>
        <w:gridCol w:w="2304"/>
        <w:gridCol w:w="2305"/>
        <w:gridCol w:w="2299"/>
      </w:tblGrid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15</w:t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I</w:t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3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  <w:tc>
          <w:tcPr>
            <w:tcW w:w="229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2"/>
        <w:gridCol w:w="6979"/>
      </w:tblGrid>
      <w:tr>
        <w:trPr/>
        <w:tc>
          <w:tcPr>
            <w:tcW w:w="22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W1 – wiedza na temat stosunków międzynarodowych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W2 – wiedza na temat międzynarodowego prawa publicznego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C1 – zapoznanie studentów z wiedzą z zakresu prawa dyplomatycznego i konsularnego 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C2 – zapoznanie studentów z wiedzą dotyczącą pojęć, norm oraz instytucji prawa dyplomatycznego </w:t>
              <w:br/>
              <w:t>i konsularnego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C3 – przekazanie studentom wiedzy w zakresie analizy kwestii szczegółowych związanych ze służbą dyplomatyczną i konsularną 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Student rozpoznaje uwarunkowania stosunków międzynarodowych, zwłaszcza w obszarze prawa dyplomatycznego i konsularnego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Student identyfikuje teorię i praktykę funkcjonowania międzynarodowych instytucji zwłaszcza związanych ze stosowaniem prawem dyplomatycznym i konsularnym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Student zna normy etyczne obowiązujące w relacjach międzyludzkich, szczególnie w obszarze prawa międzynarodowego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K_W07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Student wykorzystuje posiadaną wiedzę i kompetencje do diagnozowania, wyjaśniania oraz prognozowania kwestii szczegółowych odnoszących się do prawa dyplomatycznego i konsularnego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bidi="ar-SA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K_U01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Student prawidłowo ocenia zagrożenia w zakresie stosunków międzynarodowych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K_U05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Student komunikuje się z otoczeniem, z użyciem specjalistycznej terminologii oraz prowadzi debatę w zakresie prawa dyplomatycznego i konsularnego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bidi="ar-SA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K_U09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Student jest gotów do realizacji zadań społecznych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bidi="ar-SA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K_K02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Student jest gotów do samodzielnego integrowania nabytej wiedzy oraz do samodzielnego zdobywania i interpretowania wiedzy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Cs w:val="22"/>
                <w:lang w:val="pl-PL" w:eastAsia="pl-PL" w:bidi="ar-SA"/>
              </w:rPr>
              <w:t>K_K04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Rys historyczny dyplomacji i stosunków konsularnych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Organy wewnętrzne i zewnętrzne państw w stosunkach międzynarodowych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Definiowanie pojęć: dyplomacja, stosunki dyplomatyczne, stosunki konsularne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Źródła i kodyfikacje prawa dyplomatycznego i konsularnego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Ustanowienie i zasady stosunków dyplomatycznych i konsularnych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Funkcje dyplomatyczne i konsularne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Przywileje i immunitety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Opieka dyplomatyczna i konsularna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false"/>
              <w:spacing w:lineRule="auto" w:line="240" w:before="0" w:after="0"/>
              <w:contextualSpacing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Misje specjalne – podstawy, rodzaje, status prawny, przywileje i immunitety 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2"/>
        <w:gridCol w:w="2541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 xml:space="preserve">Dyskusja, praca samodzielna i w grupach, </w:t>
            </w: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udział w konferencjach międzynarodowych,</w:t>
            </w: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 xml:space="preserve"> praca z tekstem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Dyskusja,</w:t>
            </w: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 udział w konferencjach międzynarodowych,</w:t>
            </w: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 xml:space="preserve"> praca samodzielna i w grupach, praca z tekstem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 xml:space="preserve">Dyskusja, praca samodzielna i w grupach, </w:t>
            </w: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udział w konferencjach międzynarodowych</w:t>
            </w: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 xml:space="preserve"> , praca z tekstem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analiza tekstów źródłowych, udział w konferencjach międzynarodowych, prezentacje studentów, dyskusja, praca samodzielna i w grupach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analiza tekstów źródłowych, udział w konferencjach międzynarodowych,  prezentacje studentów, dyskusja, praca samodzielna i w grupach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analiza tekstów źródłowych, udział w konferencjach międzynarodowych prezentacje studentów, dyskusja, praca samodzielna i w grupach 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prezentacje studentów, dyskusja, udział w konferencjach międzynarodowych, praca samodzielna i w grupach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prezentacje studentów, dyskusja, udział w konferencjach międzynarodowych,</w:t>
            </w:r>
            <w:bookmarkStart w:id="0" w:name="_GoBack"/>
            <w:bookmarkEnd w:id="0"/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 praca samodzielna i w grupach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 w:before="0" w:after="0"/>
        <w:rPr/>
      </w:pPr>
      <w:r>
        <w:rPr/>
        <w:t>Ocena niedostateczna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(W) - Student nie posiada podstawowej wiedzy dotyczącej pojęć, definicji, zasad i instytucji prawa dyplomatycznego i konsularnego oraz uwarunkowań jego stosowania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(U) - Student nie potrafi, nawet pod kierunkiem, wykorzystać zdobytej wiedzy do wyjaśniania kwestii podstawowych odnoszących się do prawa dyplomatycznego i konsularnego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(K) - Student nie jest gotów do samodzielnego integrowania wiedzy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Ocena dostateczna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/>
        <w:t>(</w:t>
      </w:r>
      <w:r>
        <w:rPr>
          <w:rFonts w:cs="Calibri" w:cstheme="minorHAnsi"/>
        </w:rPr>
        <w:t>W) - Student posiada podstawową  wiedzę dotyczącą pojęć, definicji, zasad i instytucji prawa dyplomatycznego i konsularnego oraz uwarunkowań jego stosowania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(U) - Student potrafi pod kierunkiem wykorzystać zdobytą wiedzę do wyjaśniania podstawowych kwestii odnoszących się do prawa dyplomatycznego i konsularnego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(K) - Student jest gotów do samodzielnego integrowania nabytej wiedzy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Ocena dobra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(W) - Student posiada wiedzę dotyczącą pojęć, definicji, zasad i instytucji prawa dyplomatycznego i konsularnego oraz uwarunkowań jego stosowania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(U) - Student potrafi w wykorzystać zdobytą wiedzę do diagnozowania, wyjaśniania oraz prognozowania kwestii szczegółowych odnoszących się do prawa dyplomatycznego i konsularnego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(K) - - Student jest gotów do integrowania nabytej wiedzy oraz podejmowania w zorganizowany sposób nowych działań, także w warunkach ograniczonego dostępu do potrzebnych informacji</w:t>
      </w:r>
    </w:p>
    <w:p>
      <w:pPr>
        <w:pStyle w:val="Normal"/>
        <w:spacing w:lineRule="auto" w:line="240" w:before="0" w:after="0"/>
        <w:rPr/>
      </w:pPr>
      <w:r>
        <w:rPr/>
        <w:t>Ocena bardzo dobra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(W) - Student posiada pogłębioną wiedzę dotyczącą pojęć, definicji, zasad i instytucji prawa dyplomatycznego i konsularnego oraz uwarunkowania jego stosowania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(U) - Student potrafi w sposób samodzielny wykorzystać zdobytą wiedzę do diagnozowania, wyjaśniania oraz prognozowania kwestii szczegółowych odnoszących się do prawa dyplomatycznego i konsularnego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(K) - Student jest gotów do samodzielnego integrowania nabytej wiedzy oraz podejmowania w zorganizowany sposób nowych działań, także w warunkach ograniczonego dostępu do potrzebnych informacji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5"/>
      </w:tblGrid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Cs w:val="22"/>
                <w:lang w:val="pl-PL" w:eastAsia="en-US" w:bidi="ar-SA"/>
              </w:rPr>
              <w:t>15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J. Sutor, Prawo dyplomatyczne i konsularne, Warszawa 2018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- A. Klimczak-Przyborowska, W Staszewski, Prawo dyplomatyczne i konsularne. Wybór dokumentów, Lublin 2005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T. Orłowski, Protokół dyplomatyczny. Między tradycją a nowoczesnością, Warszawa 2015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- E. Pietkiewicz, Protokół dyplomatyczny, Warszawa 2000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 xml:space="preserve">- J. Modrzyńska, Protokół dyplomatyczny, etykieta i zasady savoir-vivre’u, Warszawa 2021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Cs w:val="22"/>
                <w:lang w:val="pl-PL" w:eastAsia="en-US" w:bidi="ar-SA"/>
              </w:rPr>
              <w:t>- 50 lat Konwencji Wiedeńskiej – aktualna kondycja uregulowań dotyczących stosunków dyplomatycznych, Warszawa 2012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70b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8d7396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74d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D937-218C-4C73-81B9-C65D5E27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LibreOffice/7.2.6.2$Windows_X86_64 LibreOffice_project/b0ec3a565991f7569a5a7f5d24fed7f52653d754</Application>
  <AppVersion>15.0000</AppVersion>
  <Pages>5</Pages>
  <Words>867</Words>
  <Characters>6105</Characters>
  <CharactersWithSpaces>6828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2022-12-12T10:04:00Z</dcterms:created>
  <dc:creator>Anna Łukasiewicz</dc:creator>
  <dc:description/>
  <dc:language>pl-PL</dc:language>
  <cp:lastModifiedBy>pracownik</cp:lastModifiedBy>
  <cp:lastPrinted>2019-01-23T11:10:00Z</cp:lastPrinted>
  <dcterms:modified xsi:type="dcterms:W3CDTF">2022-12-12T10:04:00Z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