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Proces integracji europejskiej w XX i XXI wieku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The process of European integration in the 20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en-US" w:eastAsia="en-US" w:bidi="ar-SA"/>
              </w:rPr>
              <w:t>th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 and 21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en-US" w:eastAsia="en-US" w:bidi="ar-SA"/>
              </w:rPr>
              <w:t>st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 centuries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Aneta Bąk-Pitucha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 znajomość zagadnień z przedmiotu: wstęp do nauki o stosunkach międzynarodowych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C1-Zapoznanie studentów z głównymi zagadnieniami dotyczącymi przedmiotu zajęć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C-2 Przekazanie wiedzy nt. podstawowych pojęć w przedmiotowym obszarze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C-3 Ukierunkowanie na potrzebę samodzielnego, krytycznego analizowania przedmiotowych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Zjawisk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5830"/>
        <w:gridCol w:w="2138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Student identyfikuje wiedzę z obszaru nauki o stosunkach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międzynarodowych i ich przejawów, a zwłaszcza integracji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europejskiej w wymiarze polityczny i ekonomicznym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Absolwent rozumie istotę oraz uwarunkowania integracji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europejskiej, genezę, wymiary i proces instytucjonalny 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decyzyjny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Absolwent potrafi wykorzystywać zdobytą wiedzę teoretyczną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dotycząca analizowania, wyjaśniania i prognozowania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stosunków międzynarodowych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-Bold" w:hAnsi="Calibri-Bold" w:cs="Calibri-Bold"/>
                <w:b/>
                <w:b/>
                <w:bCs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K_U01, K_U03, K_U05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Absolwent posiada wiedzę w zakresie stosunków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międzynarodowych i integracji europejskiej i dokonuje jej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oceny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numPr>
          <w:ilvl w:val="0"/>
          <w:numId w:val="1"/>
        </w:numPr>
        <w:rPr>
          <w:b/>
          <w:b/>
        </w:rPr>
      </w:pPr>
      <w:r>
        <w:rPr/>
        <w:tab/>
        <w:tab/>
        <w:t xml:space="preserve"> </w:t>
      </w: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en-US" w:bidi="ar-SA"/>
              </w:rPr>
              <w:t>1. Pojęcie integracji: integracja gospodarcza i integracja polityczna.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en-US" w:bidi="ar-SA"/>
              </w:rPr>
              <w:t>2. Początki procesu integracji europejskiej po drugiej wojnie światowej.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en-US" w:bidi="ar-SA"/>
              </w:rPr>
              <w:t>3. Stany Zjednoczone jako sponsor wysiłków na rzecz jedności europejskiej.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en-US" w:bidi="ar-SA"/>
              </w:rPr>
              <w:t>4. Koncepcja ponadnarodowej Europy: plan Schumana i utworzenie Europejskiej Wspólnoty Węgla i Stali (EWWiS) – traktat paryski (1951 r.).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en-US" w:bidi="ar-SA"/>
              </w:rPr>
              <w:t>5. Porażka integracji politycznej w latach 50.: nieudane próby stworzenia Europejskiej Wspólnoty Obronnej i Europejskiej Wspólnoty Politycznej.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en-US" w:bidi="ar-SA"/>
              </w:rPr>
              <w:t>6. Powrót do integracji gospodarczej: powstanie Europejskiej Wspólnoty Gospodarczej (EWG) i Europejskiej Wspólnoty Energii Atomowej (Euratom) – traktat rzymski (1957 r.).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en-US" w:bidi="ar-SA"/>
              </w:rPr>
              <w:t>7. Koncepcja międzyrządowej Europy: koncepcja Europy prezydenta Francji Charlesa de Gaulle’a oraz jej wpływ na funkcjonowanie Wspólnot Europejskich (plan Foucheta, francuskie veto wobec członkostwa Wielkiej Brytanii, kryzys instytucjonalny).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en-US" w:bidi="ar-SA"/>
              </w:rPr>
              <w:t>8. Proces pogłębiania i poszerzania Wspólnot Europejskich w latach 70. XX wieku.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en-US" w:bidi="ar-SA"/>
              </w:rPr>
              <w:t>9. Istota, zakres i uwarunkowania procesu reform traktatowych Wspólnot/Unii Europejskiej.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en-US" w:bidi="ar-SA"/>
              </w:rPr>
              <w:t>10. Jednolity Akt Europejski (1986 r.): początek procesu reform traktatowych.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en-US" w:bidi="ar-SA"/>
              </w:rPr>
              <w:t>11. Traktat o Unii Europejskiej z Maastricht (1992 r.): powstanie Unii Europejskiej.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12. Traktat amsterdamski (1997 r.): niedokończona reforma.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en-US" w:bidi="ar-SA"/>
              </w:rPr>
              <w:t>13. Traktat nicejski (2001 r.): kompromis w obliczu poszerzenia.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en-US" w:bidi="ar-SA"/>
              </w:rPr>
              <w:t>14. Traktat ustanawiający Konstytucję dla Europy (2004 r.): nieudana próba określenia finalité politique Unii Europejskiej.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udział w konferencjach naukowych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udział w konferencjach naukowych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Zaliczenie na ocenę na podstawie aktywności, prezentacji i systematycznej obecności na zajęciach (dopuszczalne 2 nieobecności nieusprawiedliwione), studenci z IOS obecność na połowie zajęć.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120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  <w:tbl>
            <w:tblPr>
              <w:tblW w:w="884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8846"/>
            </w:tblGrid>
            <w:tr>
              <w:trPr>
                <w:trHeight w:val="513" w:hRule="atLeast"/>
              </w:trPr>
              <w:tc>
                <w:tcPr>
                  <w:tcW w:w="8846" w:type="dxa"/>
                  <w:tcBorders/>
                </w:tcPr>
                <w:tbl>
                  <w:tblPr>
                    <w:tblW w:w="8630" w:type="dxa"/>
                    <w:jc w:val="left"/>
                    <w:tblInd w:w="0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0" w:noVBand="0" w:lastRow="0" w:firstColumn="0" w:lastColumn="0" w:noHBand="0" w:val="0000"/>
                  </w:tblPr>
                  <w:tblGrid>
                    <w:gridCol w:w="8630"/>
                  </w:tblGrid>
                  <w:tr>
                    <w:trPr>
                      <w:trHeight w:val="782" w:hRule="atLeast"/>
                    </w:trPr>
                    <w:tc>
                      <w:tcPr>
                        <w:tcW w:w="8630" w:type="dxa"/>
                        <w:tcBorders/>
                      </w:tcPr>
                      <w:p>
                        <w:pPr>
                          <w:pStyle w:val="Default"/>
                          <w:widowControl w:val="false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cs="Times New Roman" w:ascii="Times New Roman" w:hAnsi="Times New Roman"/>
                          </w:rPr>
                          <w:t xml:space="preserve">N. Nugent, </w:t>
                        </w:r>
                        <w:r>
                          <w:rPr>
                            <w:rFonts w:cs="Times New Roman" w:ascii="Times New Roman" w:hAnsi="Times New Roman"/>
                            <w:i/>
                            <w:iCs/>
                          </w:rPr>
                          <w:t>Unia Europejska. Władza i polityka</w:t>
                        </w:r>
                        <w:r>
                          <w:rPr>
                            <w:rFonts w:cs="Times New Roman" w:ascii="Times New Roman" w:hAnsi="Times New Roman"/>
                          </w:rPr>
                          <w:t xml:space="preserve">, Wydawnictwo Uniwersytetu Jagiellońskiego, Kraków 2012. </w:t>
                        </w:r>
                      </w:p>
                      <w:p>
                        <w:pPr>
                          <w:pStyle w:val="Default"/>
                          <w:widowControl w:val="false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cs="Times New Roman" w:ascii="Times New Roman" w:hAnsi="Times New Roman"/>
                          </w:rPr>
                          <w:t xml:space="preserve">A. Podraza, </w:t>
                        </w:r>
                        <w:r>
                          <w:rPr>
                            <w:rFonts w:cs="Times New Roman" w:ascii="Times New Roman" w:hAnsi="Times New Roman"/>
                            <w:i/>
                            <w:iCs/>
                          </w:rPr>
                          <w:t>Unia Europejska w procesie reform traktatowych</w:t>
                        </w:r>
                        <w:r>
                          <w:rPr>
                            <w:rFonts w:cs="Times New Roman" w:ascii="Times New Roman" w:hAnsi="Times New Roman"/>
                          </w:rPr>
                          <w:t xml:space="preserve">, Wydawnictwo KUL, Lublin 2007. https://www.academia.edu/22107412/Unia_Europejska_w_procesie_reform_traktatowych. </w:t>
                        </w:r>
                      </w:p>
                      <w:p>
                        <w:pPr>
                          <w:pStyle w:val="Default"/>
                          <w:widowControl w:val="false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cs="Times New Roman" w:ascii="Times New Roman" w:hAnsi="Times New Roman"/>
                          </w:rPr>
                          <w:t xml:space="preserve">A. Podraza, </w:t>
                        </w:r>
                        <w:r>
                          <w:rPr>
                            <w:rFonts w:cs="Times New Roman" w:ascii="Times New Roman" w:hAnsi="Times New Roman"/>
                            <w:i/>
                            <w:iCs/>
                          </w:rPr>
                          <w:t>Unia Europejska</w:t>
                        </w:r>
                        <w:r>
                          <w:rPr>
                            <w:rFonts w:cs="Times New Roman" w:ascii="Times New Roman" w:hAnsi="Times New Roman"/>
                          </w:rPr>
                          <w:t xml:space="preserve">, Redakcja Wydawnictw Katolickiego Uniwersytetu Lubelskiego, Lublin 1999, s. 13-71. https://www.academia.edu/45608617/UNIA_EUROPEJSKA. 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8630" w:type="dxa"/>
                        <w:tcBorders/>
                      </w:tcPr>
                      <w:p>
                        <w:pPr>
                          <w:pStyle w:val="Default"/>
                          <w:widowControl w:val="fals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tbl>
            <w:tblPr>
              <w:tblW w:w="851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8511"/>
            </w:tblGrid>
            <w:tr>
              <w:trPr>
                <w:trHeight w:val="110" w:hRule="atLeast"/>
              </w:trPr>
              <w:tc>
                <w:tcPr>
                  <w:tcW w:w="8511" w:type="dxa"/>
                  <w:tcBorders/>
                </w:tcPr>
                <w:p>
                  <w:pPr>
                    <w:pStyle w:val="Default"/>
                    <w:widowControl w:val="false"/>
                    <w:spacing w:lineRule="auto" w:line="36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u w:val="single"/>
                    </w:rPr>
                  </w:r>
                </w:p>
              </w:tc>
            </w:tr>
            <w:tr>
              <w:trPr>
                <w:trHeight w:val="244" w:hRule="atLeast"/>
              </w:trPr>
              <w:tc>
                <w:tcPr>
                  <w:tcW w:w="8511" w:type="dxa"/>
                  <w:tcBorders/>
                </w:tcPr>
                <w:p>
                  <w:pPr>
                    <w:pStyle w:val="Default"/>
                    <w:widowControl w:val="false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A. Podraza, </w:t>
                  </w:r>
                  <w:r>
                    <w:rPr>
                      <w:rFonts w:cs="Times New Roman" w:ascii="Times New Roman" w:hAnsi="Times New Roman"/>
                      <w:i/>
                      <w:iCs/>
                    </w:rPr>
                    <w:t>Integracja europejska a redefinicja polityki zagranicznej Stanów Zjednoczonych: przyczyny zainicjowania i rozwój transatlantyckich stosunków bezpieczeństwa w latach 1945–1948</w:t>
                  </w:r>
                  <w:r>
                    <w:rPr>
                      <w:rFonts w:cs="Times New Roman" w:ascii="Times New Roman" w:hAnsi="Times New Roman"/>
                    </w:rPr>
                    <w:t xml:space="preserve">, „Rocznik Integracji Europejskiej”, tom 10, 2016, s. 255-274. </w:t>
                  </w:r>
                </w:p>
                <w:p>
                  <w:pPr>
                    <w:pStyle w:val="Default"/>
                    <w:widowControl w:val="false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A. Podraza, </w:t>
                  </w:r>
                  <w:r>
                    <w:rPr>
                      <w:rFonts w:cs="Times New Roman" w:ascii="Times New Roman" w:hAnsi="Times New Roman"/>
                      <w:i/>
                      <w:iCs/>
                    </w:rPr>
                    <w:t>Integracja europejska w czasach kryzysu: scenariusz rozwoju Unii Europejskiej w XXI wieku</w:t>
                  </w:r>
                  <w:r>
                    <w:rPr>
                      <w:rFonts w:cs="Times New Roman" w:ascii="Times New Roman" w:hAnsi="Times New Roman"/>
                    </w:rPr>
                    <w:t xml:space="preserve">, w: M. Pietraś, H. Dumała, B. Surmacz, A. W. Ziętek (red.), </w:t>
                  </w:r>
                  <w:r>
                    <w:rPr>
                      <w:rFonts w:cs="Times New Roman" w:ascii="Times New Roman" w:hAnsi="Times New Roman"/>
                      <w:i/>
                      <w:iCs/>
                    </w:rPr>
                    <w:t>Teoria i praktyka stosunków międzynarodowych</w:t>
                  </w:r>
                  <w:r>
                    <w:rPr>
                      <w:rFonts w:cs="Times New Roman" w:ascii="Times New Roman" w:hAnsi="Times New Roman"/>
                    </w:rPr>
                    <w:t xml:space="preserve">, Wydawnictwo Uniwersytetu Marii Curie-Skłodowskiej, Lublin 2014, s. 439-451. </w:t>
                  </w:r>
                </w:p>
                <w:p>
                  <w:pPr>
                    <w:pStyle w:val="Default"/>
                    <w:widowControl w:val="false"/>
                    <w:spacing w:lineRule="auto" w:line="36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A. Podraza, </w:t>
                  </w:r>
                  <w:r>
                    <w:rPr>
                      <w:rFonts w:cs="Times New Roman" w:ascii="Times New Roman" w:hAnsi="Times New Roman"/>
                      <w:i/>
                      <w:iCs/>
                    </w:rPr>
                    <w:t>Przemiany Unii Europejskiej w XXI wieku: w kierunku redefinicji modelu integracji europejskiej</w:t>
                  </w:r>
                  <w:r>
                    <w:rPr>
                      <w:rFonts w:cs="Times New Roman" w:ascii="Times New Roman" w:hAnsi="Times New Roman"/>
                    </w:rPr>
                    <w:t xml:space="preserve">, w: E. Haliżak, M. Pietraś (red.), </w:t>
                  </w:r>
                  <w:r>
                    <w:rPr>
                      <w:rFonts w:cs="Times New Roman" w:ascii="Times New Roman" w:hAnsi="Times New Roman"/>
                      <w:i/>
                      <w:iCs/>
                    </w:rPr>
                    <w:t>Poziomy analizy stosunków międzynarodowych</w:t>
                  </w:r>
                  <w:r>
                    <w:rPr>
                      <w:rFonts w:cs="Times New Roman" w:ascii="Times New Roman" w:hAnsi="Times New Roman"/>
                    </w:rPr>
                    <w:t>, tom I, Warszawa 2013, s. 301-318.</w:t>
                  </w:r>
                  <w:bookmarkStart w:id="0" w:name="_GoBack"/>
                  <w:bookmarkEnd w:id="0"/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-Bold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F906-5088-451C-883D-C6408C85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LibreOffice/7.2.4.1$Windows_X86_64 LibreOffice_project/27d75539669ac387bb498e35313b970b7fe9c4f9</Application>
  <AppVersion>15.0000</AppVersion>
  <Pages>4</Pages>
  <Words>683</Words>
  <Characters>4981</Characters>
  <CharactersWithSpaces>5529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2021-11-29T22:12:00Z</dcterms:created>
  <dc:creator>Anna Łukasiewicz</dc:creator>
  <dc:description/>
  <dc:language>pl-PL</dc:language>
  <cp:lastModifiedBy/>
  <cp:lastPrinted>2019-01-23T11:10:00Z</cp:lastPrinted>
  <dcterms:modified xsi:type="dcterms:W3CDTF">2023-04-16T22:37:37Z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