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>
          <w:b/>
          <w:b/>
        </w:rPr>
      </w:pPr>
      <w:r>
        <w:rPr/>
        <w:t>Cykl kształcenia od roku akademickiego: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Protokół dyplomatyczny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Diplomatic protocol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Zyguła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powinien posiadać wiedzę, umiejętności i kompetencje w zakresie stosunków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Opanowanie podstawowej wiedzy z zakresu protokołu dyplomatycznego, zasad savoire-vivre’u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etykiety i ceremoniału oraz korespondencji dyplomatycznej.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Nabycie praktycznych umiejętności związanych z etykietą w biznesie.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 uporządkowaną wiedzę dotyczącą terminologii z zakresu prawa dyplomatycznego i konsularnego.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szczegółową wiedzę dotyczącą protokołu dyplomatycznego.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zasady savoire- vivre w dyplomacji i biznesie.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zachowywać się zgodnie z zasadami protokołu dyplomatycznego i savoir-vivre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zorganizować wydarzenie o charakterze międzynarodowym (konferencję, debatę, wizytę zagraniczną)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Ocenić skuteczność wybranych działań dyplomatycznych dla realizacji celów narodowych.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zorientowany na wartości demokratyczne i tolerancyjne traktowanie innych kultur.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współpracować  w zespole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Prezentuje koncyliacyjną postawę w   rozwiązania podanego, trudnego problemu.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Pojęcie i istota protokołu dyplomatycznego, Źródła i historia protokołu dyplomatycznego, organizacja protokołu dyplomatycznego, różnice kulturowe a protokół dyplomatyczny, organizacja wizyt państwowych i uroczystości publicznych, tytulatura kościelna i państwowa, organizowanie konferencji międzynarodowych, podstawowe zagadnienia z precedencji państwowej i kościelnej, podstawowe zasady korespondencji dyplomatycznej, prawo dyplomatyczne i konsularne, savoire-vivre na co dzień i w biznesie.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4"/>
        <w:gridCol w:w="2781"/>
        <w:gridCol w:w="2535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Wykład konwersatoryjny</w:t>
              <w:br/>
              <w:t>Wykład problemowy</w:t>
              <w:br/>
              <w:t>Praca z tekstem</w:t>
              <w:br/>
              <w:t>Studium przypadku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Service learning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Wykład konwersatoryjny</w:t>
              <w:br/>
              <w:t>Wykład problemowy</w:t>
              <w:br/>
              <w:t>Praca z tekstem</w:t>
              <w:br/>
              <w:t>Studium przypadku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Service learning</w:t>
              <w:br/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Wykład konwersatoryjny</w:t>
              <w:br/>
              <w:t>Wykład problemowy</w:t>
              <w:br/>
              <w:t>Praca z tekstem</w:t>
              <w:br/>
              <w:t>Studium przypadku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Service learning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Studium przypadku</w:t>
              <w:br/>
              <w:t>Service learning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Studium przypadku</w:t>
              <w:br/>
              <w:t>Service learning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Studium przypadku</w:t>
              <w:br/>
              <w:t>Service learning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Obserwacja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Raport z obserwacji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7"/>
                <w:szCs w:val="27"/>
                <w:lang w:val="pl-PL" w:eastAsia="en-US" w:bidi="ar-SA"/>
              </w:rPr>
              <w:t>Obserwacja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Raport z obserwacji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Obserwacja</w:t>
            </w:r>
          </w:p>
        </w:tc>
        <w:tc>
          <w:tcPr>
            <w:tcW w:w="2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Raport z obserwacji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>Obecność na zajęciach, aktywne uczestnictwo, pozytywne zaliczenie testu końcowego</w:t>
      </w:r>
    </w:p>
    <w:p>
      <w:pPr>
        <w:pStyle w:val="ListParagraph"/>
        <w:ind w:left="1080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J.W. Piekarski Protokół dyplomatyczny i dobre obyczaje, Warszawa 2004.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J. Modrzyńska, Protokół dyplomatyczny, etykieta i zasady savoire-vivre’u. Warszawa 2016.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T. Orłowski, Protokół dyplomatyczny, ceremoniał i etykieta. Warszawa 2006.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LibreOffice/7.2.6.2$Windows_X86_64 LibreOffice_project/b0ec3a565991f7569a5a7f5d24fed7f52653d754</Application>
  <AppVersion>15.0000</AppVersion>
  <Pages>3</Pages>
  <Words>520</Words>
  <Characters>3807</Characters>
  <CharactersWithSpaces>4197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2022-12-23T10:47:14Z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