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bookmarkStart w:id="0" w:name="_GoBack"/>
      <w:bookmarkEnd w:id="0"/>
      <w:r>
        <w:rPr>
          <w:b/>
        </w:rPr>
        <w:t xml:space="preserve">KARTA PRZEDMIOTU </w:t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Ochrona granic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b/>
                <w:b/>
                <w:lang w:eastAsia="pl-PL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  <w:t>Border surveillance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Kierunek studiów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bezpieczeństwie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Stanisław Dubaj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zajęć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</w:t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32"/>
        <w:gridCol w:w="6979"/>
      </w:tblGrid>
      <w:tr>
        <w:trPr/>
        <w:tc>
          <w:tcPr>
            <w:tcW w:w="2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Studenci winni dysponować ogólną wiedzą z zakresu teorii państwa i prawa oraz orientować się w bieżącej problematyce bezpieczeństwa państwa </w:t>
              <w:br/>
              <w:t>i w relacjach międzynarodowych.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C1 - wprowadzenie do ogólnej wiedzy na temat prawnych aspektów wyznaczania, przebiegu </w:t>
              <w:br/>
              <w:t xml:space="preserve">          i ochrony granic we współczesnym świecie;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C2 - omówienie zasad przekraczania granic na podstawie prawa UE i analiza tekstu w tym obszarze;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C3 - motywowanie studentów do podjęcia starań w zakresie możliwości odnalezienia się na  </w:t>
              <w:br/>
              <w:t xml:space="preserve">           lokalnym rynku pracy – absolwenci tej specjalności jako potencjalni kandydaci do służb </w:t>
              <w:br/>
              <w:t xml:space="preserve">           mundurowych (instytucji odpowiadających za  ochronę granic). Profesjonalna znajomość </w:t>
              <w:br/>
              <w:t xml:space="preserve">          przedmiotowej problematyki przez studentów, ma również działanie prewencyjne w zakresie </w:t>
              <w:br/>
              <w:t xml:space="preserve">          bezpieczeństwa i porządku publicznego w regionie.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98"/>
        <w:gridCol w:w="5953"/>
        <w:gridCol w:w="2161"/>
      </w:tblGrid>
      <w:tr>
        <w:trPr/>
        <w:tc>
          <w:tcPr>
            <w:tcW w:w="10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Absolwent posiada wiedzę interdyscyplinarną z obszaru nauk społecznych, w tym szczególnie z zakresu nauk o bezpieczeństwie oraz ich relacji do innych nauk społecznych.</w:t>
            </w:r>
          </w:p>
        </w:tc>
        <w:tc>
          <w:tcPr>
            <w:tcW w:w="21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K_W01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Absolwent rozumie istotę oraz uwarunkowania bezpieczeństwa państwa zarówno w skali lokalnej, ogólnopaństwowej, </w:t>
              <w:br/>
              <w:t>jak i międzynarodowej.</w:t>
            </w:r>
          </w:p>
        </w:tc>
        <w:tc>
          <w:tcPr>
            <w:tcW w:w="21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posiada wiedzę nt. funkcjonowania systemu bezpieczeństwa państwa.</w:t>
            </w:r>
          </w:p>
        </w:tc>
        <w:tc>
          <w:tcPr>
            <w:tcW w:w="21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K_W03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W_04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posiada wiedzę nt. zmian ustroju państw, systemów politycznych, struktur społecznych i systemów bezpieczeństwa oraz ich przyczyn i skutków w skali międzynarodowej.</w:t>
            </w:r>
          </w:p>
        </w:tc>
        <w:tc>
          <w:tcPr>
            <w:tcW w:w="21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K_W07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W_05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Absolwent posiada podstawową wiedzę nt. bezpieczeństwa, globalnego, systemów bezpieczeństwa wybranych państw, </w:t>
              <w:br/>
              <w:t>a także bezpieczeństwa wewnętrznego i zewnętrznego Unii Europejskiej.</w:t>
            </w:r>
          </w:p>
        </w:tc>
        <w:tc>
          <w:tcPr>
            <w:tcW w:w="21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K_W08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wykorzystywać zdobytą wiedzę teoretyczną dot. bezpieczeństwa narodowego oraz powiązanych z nim dziedzin wiedzy do analizowania i wyjaśniania kwestii szczegółowych odnoszących się do bezpieczeństwa państwa, ochrony porządku prawnego, integralności terytorialnej państwa oraz ochrony jego interesów ekonomicznych.</w:t>
            </w:r>
          </w:p>
        </w:tc>
        <w:tc>
          <w:tcPr>
            <w:tcW w:w="2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lang w:eastAsia="pl-P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pl-PL" w:bidi="ar-SA"/>
              </w:rPr>
              <w:t>K_U01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zarządzać procesami bezpieczeństwa w administracji państwowej i samorządowej, w tym także w warunkach kryzysowych, potrafiąc oceniać przydatność standardowych metod oraz procedur przy realizacji zadań związanych z zapewnieniem szeroko rozumianego bezpieczeństwa publicznego.</w:t>
            </w:r>
          </w:p>
        </w:tc>
        <w:tc>
          <w:tcPr>
            <w:tcW w:w="21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K_U02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wykorzystać wiedzę teoretyczną związaną z naukami o bezpieczeństwie do analizowania zachowań ludzi i społeczeństwa, diagnozowania oraz prognozowania sytuacji mających wpływ na bezpieczeństwo narodowe, a także budować strategie działań dotyczących bezpieczeństwa narodowego w różnych obszarach życia państwa.</w:t>
            </w:r>
          </w:p>
        </w:tc>
        <w:tc>
          <w:tcPr>
            <w:tcW w:w="21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K_U03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U_04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wykorzystywać oraz prawidłowo interpretować przepisy prawne dotyczące bezpieczeństwa narodowego uwzględniając przy tym kontekst wspólnotowy wynikający z członkostwa Polski w Unii Europejskiej.</w:t>
            </w:r>
          </w:p>
        </w:tc>
        <w:tc>
          <w:tcPr>
            <w:tcW w:w="21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K_U05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posiada wiedzę w zakresie bezpieczeństwa, która może być wykorzystana w praktyce związanej z działalnością społeczną, pracą w administracji czy w sferze gospodarczej.</w:t>
            </w:r>
          </w:p>
        </w:tc>
        <w:tc>
          <w:tcPr>
            <w:tcW w:w="21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K_U02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Absolwent potrafi zarządzać procesami bezpieczeństwa </w:t>
              <w:br/>
              <w:t>w administracji państwowej i samorządowej.</w:t>
            </w:r>
          </w:p>
        </w:tc>
        <w:tc>
          <w:tcPr>
            <w:tcW w:w="21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K_K03</w:t>
            </w:r>
          </w:p>
        </w:tc>
      </w:tr>
    </w:tbl>
    <w:p>
      <w:pPr>
        <w:pStyle w:val="NoSpacing"/>
        <w:rPr>
          <w:rFonts w:cs="Arial"/>
          <w:lang w:eastAsia="pl-PL"/>
        </w:rPr>
      </w:pPr>
      <w:r>
        <w:rPr>
          <w:rFonts w:cs="Arial"/>
          <w:lang w:eastAsia="pl-PL"/>
        </w:rPr>
      </w:r>
    </w:p>
    <w:p>
      <w:pPr>
        <w:pStyle w:val="NoSpacing"/>
        <w:rPr>
          <w:rFonts w:cs="Arial"/>
          <w:lang w:eastAsia="pl-PL"/>
        </w:rPr>
      </w:pPr>
      <w:r>
        <w:rPr>
          <w:rFonts w:cs="Arial"/>
          <w:lang w:eastAsia="pl-PL"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 Istota granic we współczesnym świecie.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 Rodzaje granic w UE.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3. Granice państwowe RP w świetle granic UE/Schengen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4. Zasady i ograniczenia w przepływie osób przez granice wewnętrzne i zewnętrzne.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5. Unijna administracja graniczna (koordynacja działań służb krajowych w zakresie ochrony granic </w:t>
              <w:br/>
              <w:t xml:space="preserve">    na poziomie UE).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6. Straż Graniczna jako formacja powołana do ochrony granicy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7. Kompetencje i zadania oddziału Straży Granicznej i placówki Straży Granicznej na przykładzie </w:t>
              <w:br/>
              <w:t xml:space="preserve">    funkcjonowania Nadbużańskiego Oddziału SG.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8. Zadania instytucji granicznych zaangażowanych w problematykę bezpieczeństwa  w przejściach </w:t>
              <w:br/>
              <w:t xml:space="preserve">    granicznych.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9. Dokumenty uprawniające do przekraczania granic.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10. Umowy o małym ruchu granicznym na przykładzie Polski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11. Wielkoskalowe systemy informatyczne w operacjach ruchu granicznego (SIS, VIS, Eurodac, </w:t>
              <w:br/>
              <w:t xml:space="preserve">       EES,ETIAS)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12. Wpływ kryzysu migracyjnego/kryzysu covid/wojny w Ukrainie na ochronę granic i na ruch </w:t>
              <w:br/>
              <w:t xml:space="preserve">       graniczny (</w:t>
            </w: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rola współpracy transgranicznej w zakresie zapewnienia bezpieczeństwa </w:t>
              <w:br/>
              <w:t xml:space="preserve">       wewnętrznego na przykładzie funkcjonowania instytucji Pełnomocnika Granicznego RP </w:t>
              <w:br/>
              <w:t xml:space="preserve">       ze szczególnym uwzględnieniem aspektów bezpieczeństwa województwa lubelskiego)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13. Planowane reformy prawne w zintegrowanym zarządzaniu granicami  EU.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14. „</w:t>
            </w: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Stop korupcji” – realizacja strategii antykorupcyjnej w instytucjach państwowych </w:t>
              <w:br/>
              <w:t xml:space="preserve">      (ze szczególnym uwzględnieniem służb ochrony granic RP).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 weryfikacji efektów uczenia się</w:t>
      </w:r>
    </w:p>
    <w:tbl>
      <w:tblPr>
        <w:tblStyle w:val="Tabela-Siatka"/>
        <w:tblW w:w="91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32"/>
        <w:gridCol w:w="2906"/>
        <w:gridCol w:w="2229"/>
        <w:gridCol w:w="2478"/>
      </w:tblGrid>
      <w:tr>
        <w:trPr/>
        <w:tc>
          <w:tcPr>
            <w:tcW w:w="15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9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2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145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5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9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konwersatoryjny, problemowy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Zaliczenie pisemne</w:t>
            </w:r>
          </w:p>
        </w:tc>
        <w:tc>
          <w:tcPr>
            <w:tcW w:w="2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Uzupełniony i oceniony Test / Sprawdzian pisemny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/ Protokół</w:t>
            </w:r>
          </w:p>
        </w:tc>
      </w:tr>
      <w:tr>
        <w:trPr/>
        <w:tc>
          <w:tcPr>
            <w:tcW w:w="15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9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konwersatoryjny, problemowy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Zaliczenie pisemne</w:t>
            </w:r>
          </w:p>
        </w:tc>
        <w:tc>
          <w:tcPr>
            <w:tcW w:w="2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Uzupełniony i oceniony Test / Sprawdzian pisemny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/ Protokół</w:t>
            </w:r>
          </w:p>
        </w:tc>
      </w:tr>
      <w:tr>
        <w:trPr/>
        <w:tc>
          <w:tcPr>
            <w:tcW w:w="15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29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konwersatoryjny, problemowy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Zaliczenie pisemne</w:t>
            </w:r>
          </w:p>
        </w:tc>
        <w:tc>
          <w:tcPr>
            <w:tcW w:w="2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Uzupełniony i oceniony Test / Sprawdzian pisemny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/ Protokół</w:t>
            </w:r>
          </w:p>
        </w:tc>
      </w:tr>
      <w:tr>
        <w:trPr/>
        <w:tc>
          <w:tcPr>
            <w:tcW w:w="15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W_04</w:t>
            </w:r>
          </w:p>
        </w:tc>
        <w:tc>
          <w:tcPr>
            <w:tcW w:w="29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konwersatoryjny, problemowy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Zaliczenie pisemne</w:t>
            </w:r>
          </w:p>
        </w:tc>
        <w:tc>
          <w:tcPr>
            <w:tcW w:w="2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Uzupełniony i oceniony Test / Sprawdzian pisemny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/ Protokół</w:t>
            </w:r>
          </w:p>
        </w:tc>
      </w:tr>
      <w:tr>
        <w:trPr/>
        <w:tc>
          <w:tcPr>
            <w:tcW w:w="15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W_05</w:t>
            </w:r>
          </w:p>
        </w:tc>
        <w:tc>
          <w:tcPr>
            <w:tcW w:w="29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konwersatoryjny, problemowy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Zaliczenie pisemne</w:t>
            </w:r>
          </w:p>
        </w:tc>
        <w:tc>
          <w:tcPr>
            <w:tcW w:w="2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Uzupełniony i oceniony Test / Sprawdzian pisemny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/ Protokół</w:t>
            </w:r>
          </w:p>
        </w:tc>
      </w:tr>
      <w:tr>
        <w:trPr/>
        <w:tc>
          <w:tcPr>
            <w:tcW w:w="9145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5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9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studium przypadku,  praca w grupach, burza mózgów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5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9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studium przypadku,  praca w grupach, burza mózgów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5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9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studium przypadku,  praca w grupach, burza mózgów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5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U_04</w:t>
            </w:r>
          </w:p>
        </w:tc>
        <w:tc>
          <w:tcPr>
            <w:tcW w:w="29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studium przypadku,  praca w grupach, burza mózgów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145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5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9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Metoda projektu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Karta oceny prezentacji</w:t>
            </w:r>
          </w:p>
        </w:tc>
      </w:tr>
      <w:tr>
        <w:trPr/>
        <w:tc>
          <w:tcPr>
            <w:tcW w:w="15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K_2</w:t>
            </w:r>
          </w:p>
        </w:tc>
        <w:tc>
          <w:tcPr>
            <w:tcW w:w="29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Praca w grupach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Referat</w:t>
            </w:r>
          </w:p>
        </w:tc>
        <w:tc>
          <w:tcPr>
            <w:tcW w:w="2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Karta oceny pracy </w:t>
              <w:br/>
              <w:t>w grupie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wagi…</w:t>
      </w:r>
    </w:p>
    <w:p>
      <w:pPr>
        <w:pStyle w:val="Normal"/>
        <w:rPr>
          <w:b/>
          <w:b/>
        </w:rPr>
      </w:pPr>
      <w:r>
        <w:rPr>
          <w:b/>
        </w:rPr>
        <w:t xml:space="preserve">Metody (sposoby) oceny: </w:t>
      </w:r>
      <w:r>
        <w:rPr>
          <w:color w:val="000000"/>
          <w:spacing w:val="-2"/>
        </w:rPr>
        <w:t xml:space="preserve">  ocenianie ciągłe (bieżące przygotowanie do zajęć) praca semestralna, projekt, kontrola obecności</w:t>
      </w:r>
    </w:p>
    <w:p>
      <w:pPr>
        <w:pStyle w:val="Normal"/>
        <w:rPr/>
      </w:pPr>
      <w:r>
        <w:rPr>
          <w:b/>
          <w:color w:val="FF0000"/>
        </w:rPr>
        <w:t xml:space="preserve"> </w:t>
      </w:r>
      <w:r>
        <w:rPr>
          <w:b/>
        </w:rPr>
        <w:t xml:space="preserve">Typ oceny: </w:t>
      </w:r>
      <w:r>
        <w:rPr/>
        <w:t>formująca, podsumowująca</w:t>
      </w:r>
    </w:p>
    <w:p>
      <w:pPr>
        <w:pStyle w:val="Normal"/>
        <w:rPr>
          <w:color w:val="000000"/>
          <w:spacing w:val="-2"/>
        </w:rPr>
      </w:pPr>
      <w:r>
        <w:rPr>
          <w:b/>
        </w:rPr>
        <w:t>Forma dokumentacji:</w:t>
      </w:r>
      <w:r>
        <w:rPr/>
        <w:t xml:space="preserve"> </w:t>
      </w:r>
      <w:r>
        <w:rPr>
          <w:color w:val="000000"/>
          <w:spacing w:val="-2"/>
        </w:rPr>
        <w:t>punkty za przygotowanie projektu, referatu, prezentacji; lista obecności</w:t>
      </w:r>
    </w:p>
    <w:p>
      <w:pPr>
        <w:pStyle w:val="Normal"/>
        <w:spacing w:lineRule="auto" w:line="240" w:before="0" w:after="0"/>
        <w:jc w:val="both"/>
        <w:rPr>
          <w:b/>
          <w:b/>
          <w:color w:val="FF0000"/>
        </w:rPr>
      </w:pPr>
      <w:r>
        <w:rPr>
          <w:rFonts w:cs="Calibri" w:cstheme="minorHAnsi"/>
          <w:b/>
        </w:rPr>
        <w:t xml:space="preserve">Zaliczenie przedmiotu na ocenę: </w:t>
      </w:r>
      <w:r>
        <w:rPr>
          <w:rFonts w:cs="Calibri" w:cstheme="minorHAnsi"/>
        </w:rPr>
        <w:t xml:space="preserve">obecność na zajęciach, aktywność w dyskusjach, czytanie </w:t>
        <w:br/>
        <w:t xml:space="preserve">i znajomość literatury </w:t>
      </w:r>
      <w:r>
        <w:rPr>
          <w:rFonts w:eastAsia="Times New Roman" w:cs="Calibri" w:cstheme="minorHAnsi"/>
          <w:i/>
          <w:lang w:eastAsia="pl-PL"/>
        </w:rPr>
        <w:t xml:space="preserve">(odnotować należy, że zajęcia prowadzi doświadczony oficer (pułkownik rezerwy) Straży Granicznej) realizujący zajęcia dydaktyczne na wyższych uczelniach w Polsce </w:t>
        <w:br/>
        <w:t>od 1999r.)</w:t>
      </w:r>
      <w:r>
        <w:rPr>
          <w:b/>
          <w:color w:val="FF0000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Ocena końcowa składa się z 2 komponentów/elementów: ocena z testu pisemnego (80%) oraz aktywność, praca w grupach i obecności (20%).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Wartością dodaną oceny będzie również fakultatywne wykonanie prezentacji.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ocena 3,0 (50%)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ocena 3,5 (55%)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ocena 4,0 (65%)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ocena 4,5 (75 %) </w:t>
      </w:r>
    </w:p>
    <w:p>
      <w:pPr>
        <w:pStyle w:val="Normal"/>
        <w:spacing w:lineRule="auto" w:line="240" w:before="0" w:after="0"/>
        <w:jc w:val="both"/>
        <w:rPr>
          <w:b/>
          <w:b/>
          <w:color w:val="FF0000"/>
        </w:rPr>
      </w:pPr>
      <w:r>
        <w:rPr/>
        <w:t>ocena 5,0 (85%)</w:t>
      </w:r>
    </w:p>
    <w:p>
      <w:pPr>
        <w:pStyle w:val="Normal"/>
        <w:tabs>
          <w:tab w:val="clear" w:pos="708"/>
          <w:tab w:val="left" w:pos="1350" w:leader="none"/>
        </w:tabs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kontaktowych z nauczycielem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22"/>
                <w:szCs w:val="18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22"/>
                <w:szCs w:val="18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020" w:leader="none"/>
              </w:tabs>
              <w:suppressAutoHyphens w:val="true"/>
              <w:spacing w:lineRule="auto" w:line="240" w:before="0" w:after="0"/>
              <w:jc w:val="both"/>
              <w:rPr>
                <w:rFonts w:cs="Calibri" w:cstheme="minorHAnsi"/>
                <w:bCs/>
                <w:sz w:val="2"/>
                <w:szCs w:val="2"/>
              </w:rPr>
            </w:pPr>
            <w:r>
              <w:rPr>
                <w:rFonts w:cs="Calibri" w:cstheme="minorHAnsi"/>
                <w:bCs/>
                <w:sz w:val="22"/>
                <w:szCs w:val="2"/>
              </w:rPr>
            </w:r>
          </w:p>
          <w:p>
            <w:pPr>
              <w:pStyle w:val="Tretekstu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1833" w:leader="none"/>
              </w:tabs>
              <w:suppressAutoHyphens w:val="true"/>
              <w:overflowPunct w:val="true"/>
              <w:spacing w:lineRule="auto" w:line="240" w:before="0" w:after="0"/>
              <w:ind w:left="714" w:hanging="357"/>
              <w:jc w:val="left"/>
              <w:textAlignment w:val="baselin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 xml:space="preserve">Dominiczak H,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kern w:val="0"/>
                <w:sz w:val="22"/>
                <w:szCs w:val="22"/>
                <w:lang w:val="pl-PL" w:bidi="ar-SA"/>
              </w:rPr>
              <w:t>Granice państwa i ich ochrona na przestrzeni dziejów 966- 1996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, Warszawa, 1997.</w:t>
            </w:r>
          </w:p>
          <w:p>
            <w:pPr>
              <w:pStyle w:val="Tretekstu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1833" w:leader="none"/>
              </w:tabs>
              <w:suppressAutoHyphens w:val="true"/>
              <w:overflowPunct w:val="true"/>
              <w:spacing w:lineRule="auto" w:line="240" w:before="0" w:after="0"/>
              <w:ind w:left="714" w:hanging="357"/>
              <w:jc w:val="left"/>
              <w:textAlignment w:val="baselin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en-US" w:bidi="ar-SA"/>
              </w:rPr>
              <w:t xml:space="preserve">Dubaj S.,[i. in.]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bidi="ar-SA"/>
              </w:rPr>
              <w:t xml:space="preserve">Bezpieczeństwo wschodniej granicy Unii Europejskiej w transgranicznym przepływie towarów i osób, 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red. A. Kosińska, P. Witkowski, Lublin 2016.</w:t>
            </w:r>
          </w:p>
          <w:p>
            <w:pPr>
              <w:pStyle w:val="Tretekstu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1833" w:leader="none"/>
              </w:tabs>
              <w:suppressAutoHyphens w:val="true"/>
              <w:overflowPunct w:val="true"/>
              <w:spacing w:lineRule="auto" w:line="240" w:before="0" w:after="0"/>
              <w:ind w:left="714" w:hanging="357"/>
              <w:jc w:val="left"/>
              <w:textAlignment w:val="baselin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 xml:space="preserve">Kuś A., M. Kowerski (red.),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bidi="ar-SA"/>
              </w:rPr>
              <w:t>Transgraniczny przepływ towarów i osób w Unii Europejskiej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, Zamość –Lublin 2013.</w:t>
            </w:r>
          </w:p>
          <w:p>
            <w:pPr>
              <w:pStyle w:val="Tretekstu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1833" w:leader="none"/>
              </w:tabs>
              <w:suppressAutoHyphens w:val="true"/>
              <w:overflowPunct w:val="true"/>
              <w:spacing w:lineRule="auto" w:line="240" w:before="0" w:after="0"/>
              <w:ind w:left="714" w:hanging="357"/>
              <w:jc w:val="left"/>
              <w:textAlignment w:val="baselin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 xml:space="preserve">Szachoń-Pszenny A.,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bidi="ar-SA"/>
              </w:rPr>
              <w:t>Acquis Schengen a granice wewnętrzne i zewnętrzne Unii Europejskiej,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 xml:space="preserve"> Poznań 2011.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 xml:space="preserve">Dominiak M., Dubaj S., </w:t>
            </w:r>
            <w:r>
              <w:rPr>
                <w:rFonts w:eastAsia="Calibri" w:cs="Calibri" w:cstheme="minorHAnsi"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  <w:t xml:space="preserve">Nadbużański Oddział Straży Granicznej – współdziałanie z organami ochrony granic państwowych Ukrainy i Białorusi w kontekście przystąpienia Polski do Unii Europejskiej 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 xml:space="preserve">[w:] </w:t>
            </w:r>
            <w:r>
              <w:rPr>
                <w:rFonts w:eastAsia="Calibri" w:cs="Calibri" w:cstheme="minorHAnsi"/>
                <w:bCs/>
                <w:i/>
                <w:kern w:val="0"/>
                <w:sz w:val="22"/>
                <w:szCs w:val="22"/>
                <w:lang w:val="pl-PL" w:eastAsia="en-US" w:bidi="ar-SA"/>
              </w:rPr>
              <w:t>Bezpieczeństwo bez granic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, red.,</w:t>
            </w:r>
            <w:r>
              <w:rPr>
                <w:rFonts w:eastAsia="Calibri" w:cs="Calibri" w:cstheme="minorHAnsi"/>
                <w:bCs/>
                <w:i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Ziółkowski J., Wyższa Szkoła Przedsiębiorczości i Administracji, Lublin 2004, s. 84-99.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Dominiak M., Dubaj S.,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 xml:space="preserve">Przestępczość graniczna zagrożeniem bezpieczeństwa i porządku publicznego – wybrane aspekty praktyczne na przykładzie Nadbużańskiego Oddziału Straży Granicznej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[w:]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Otwarcie granic rynku a perspektywa BYĆ I MIEĆ człowieka oraz narodu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red. Kuś A., Witkowski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P., KUL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Lublin 2006.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 xml:space="preserve">Dubaj, S.,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Straż Graniczna – przystosowanie struktur organizacyjnych i zadań tej formacji po zniesieniu kontroli na granicach wewnętrznych Unii Europejskiej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[w:]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Polska w strefie Schengen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red. A.W. Bednaruk, M. Bielecki, G. Kowalski, KUL  Lublin 2010.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Dubaj S., Dominiak M.,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Organizacja obrony narodowej w sytuacji kryzysu i zagrożenia bezpieczeństwa państwa. Zadania Straży Granicznej w tym zakresie na przykładzie praktycznych działań realizowanych przez Nadbużański Oddział Straży Granicznej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Warszawa AON, 2004.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Dubaj S,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Ośrodki dla cudzoziemców w Polsce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[w:]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Rocznik Chełmski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Tom 26, 2022, s.125-156.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 w:themeColor="text1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Zasób informacji w portalach instytucji krajowych - Straży Granicznej https://www.strazgraniczna.pl; Służby Celno-Skarbowej - https://www.gov.pl/web/kas; Głównego Inspektoratu Sanitarnego - https://www.gov.pl/web/gis; Głównego Inspektoratu Weterynarii - https://www.wetgiw.gov.pl; Państwowej Inspekcji Ochrony Roślin i Nasiennictwa - http://piorin.gov.pl; Ins</w:t>
            </w: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pekcji Jakości Handlowej Artykułów Rolno-Spożywczych - https://www.gov.pl/web/ijhars; Lubelskiego Zarządu Obsługi Przejść Granicznych - https://lzopg.bip.mbnet.pl.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Zasób informacji w portalu Europejskiej Agencji Straży Granicznej i Przybrzeżnej (FRONTEX)  - https://frontex.europa.eu.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bCs/>
                <w:iCs/>
                <w:color w:val="000000"/>
              </w:rPr>
            </w:pPr>
            <w:r>
              <w:rPr>
                <w:rFonts w:eastAsia="Calibri" w:cs="Calibri" w:cstheme="minorHAnsi"/>
                <w:bCs/>
                <w:iCs/>
                <w:color w:val="000000"/>
                <w:kern w:val="0"/>
                <w:sz w:val="22"/>
                <w:szCs w:val="22"/>
                <w:lang w:val="pl-PL" w:eastAsia="en-US" w:bidi="ar-SA"/>
              </w:rPr>
              <w:t>Publikacje dostępne w Bibliotece KUL oraz w bibliotece działającego przy KUL – Instytutu na Rzecz Państwa Prawa (Lublin, ul.Chopina 14), którego prowadzący zajęcia jest aktywnym członkiem.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bCs/>
                <w:color w:val="000000"/>
              </w:rPr>
            </w:pP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Akty prawne dostępne m.in. na stronie internetowej http://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isap.sejm.gov.pl</w:t>
            </w: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, </w:t>
            </w:r>
            <w:hyperlink r:id="rId2">
              <w:r>
                <w:rPr>
                  <w:rStyle w:val="Czeinternetowe"/>
                  <w:rFonts w:eastAsia="Calibri" w:cs="Calibri" w:cstheme="minorHAnsi"/>
                  <w:bCs/>
                  <w:color w:val="000000"/>
                  <w:kern w:val="0"/>
                  <w:sz w:val="22"/>
                  <w:szCs w:val="22"/>
                  <w:u w:val="none"/>
                  <w:lang w:val="pl-PL" w:eastAsia="en-US" w:bidi="ar-SA"/>
                </w:rPr>
                <w:t>www.rcl.gov.pl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Dostęp do aktów prawnych Unii Europejskiej,m.in. </w:t>
            </w:r>
            <w:hyperlink r:id="rId3">
              <w:r>
                <w:rPr>
                  <w:rStyle w:val="Czeinternetowe"/>
                  <w:rFonts w:eastAsia="Calibri" w:cs="Calibri" w:cstheme="minorHAnsi"/>
                  <w:bCs/>
                  <w:color w:val="000000"/>
                  <w:kern w:val="0"/>
                  <w:sz w:val="22"/>
                  <w:szCs w:val="22"/>
                  <w:u w:val="none"/>
                  <w:lang w:val="pl-PL" w:eastAsia="en-US" w:bidi="ar-SA"/>
                </w:rPr>
                <w:t>http://eur-lex.europa.eu</w:t>
              </w:r>
            </w:hyperlink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1290" w:leader="none"/>
        </w:tabs>
        <w:spacing w:before="0" w:after="200"/>
        <w:rPr/>
      </w:pPr>
      <w:r>
        <w:rPr/>
        <w:tab/>
      </w:r>
    </w:p>
    <w:sectPr>
      <w:headerReference w:type="defaul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 xml:space="preserve"> 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0d3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HTMLwstpniesformatowanyZnak" w:customStyle="1">
    <w:name w:val="HTML - wstępnie sformatowany Znak"/>
    <w:basedOn w:val="DefaultParagraphFont"/>
    <w:link w:val="HTML-wstpniesformatowany"/>
    <w:uiPriority w:val="99"/>
    <w:semiHidden/>
    <w:qFormat/>
    <w:rsid w:val="00be0031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FootnoteCharacters" w:customStyle="1">
    <w:name w:val="Footnote Characters"/>
    <w:uiPriority w:val="99"/>
    <w:qFormat/>
    <w:rsid w:val="00146ff5"/>
    <w:rPr>
      <w:rFonts w:cs="Times New Roman"/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146ff5"/>
    <w:rPr>
      <w:rFonts w:ascii="Times New Roman" w:hAnsi="Times New Roman" w:eastAsia="Times New Roman" w:cs="Times New Roman"/>
      <w:kern w:val="2"/>
      <w:sz w:val="20"/>
      <w:szCs w:val="20"/>
    </w:rPr>
  </w:style>
  <w:style w:type="character" w:styleId="TekstpodstawowyZnak" w:customStyle="1">
    <w:name w:val="Tekst podstawowy Znak"/>
    <w:basedOn w:val="DefaultParagraphFont"/>
    <w:link w:val="Tekstpodstawowy"/>
    <w:qFormat/>
    <w:rsid w:val="008b162c"/>
    <w:rPr>
      <w:rFonts w:ascii="Arial" w:hAnsi="Arial" w:eastAsia="Times New Roman" w:cs="Arial"/>
      <w:sz w:val="28"/>
      <w:szCs w:val="20"/>
      <w:lang w:eastAsia="pl-PL"/>
    </w:rPr>
  </w:style>
  <w:style w:type="character" w:styleId="Mweditsection" w:customStyle="1">
    <w:name w:val="mw-editsection"/>
    <w:basedOn w:val="DefaultParagraphFont"/>
    <w:qFormat/>
    <w:rsid w:val="0010695f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8b162c"/>
    <w:pPr>
      <w:spacing w:lineRule="auto" w:line="192" w:before="0" w:after="0"/>
    </w:pPr>
    <w:rPr>
      <w:rFonts w:ascii="Arial" w:hAnsi="Arial" w:eastAsia="Times New Roman" w:cs="Arial"/>
      <w:sz w:val="28"/>
      <w:szCs w:val="20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19f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TMLPreformatted">
    <w:name w:val="HTML Preformatted"/>
    <w:basedOn w:val="Normal"/>
    <w:link w:val="HTML-wstpniesformatowanyZnak"/>
    <w:uiPriority w:val="99"/>
    <w:semiHidden/>
    <w:unhideWhenUsed/>
    <w:qFormat/>
    <w:rsid w:val="00be0031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Przypisdolny">
    <w:name w:val="Footnote Text"/>
    <w:basedOn w:val="Normal"/>
    <w:link w:val="TekstprzypisudolnegoZnak"/>
    <w:uiPriority w:val="99"/>
    <w:semiHidden/>
    <w:rsid w:val="00146ff5"/>
    <w:pPr>
      <w:widowControl w:val="false"/>
      <w:suppressLineNumbers/>
      <w:suppressAutoHyphens w:val="true"/>
      <w:overflowPunct w:val="true"/>
      <w:spacing w:lineRule="auto" w:line="240" w:before="0" w:after="0"/>
      <w:ind w:left="283" w:hanging="283"/>
      <w:textAlignment w:val="baseline"/>
    </w:pPr>
    <w:rPr>
      <w:rFonts w:ascii="Times New Roman" w:hAnsi="Times New Roman" w:eastAsia="Times New Roman" w:cs="Times New Roman"/>
      <w:kern w:val="2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cl.gov.pl/" TargetMode="External"/><Relationship Id="rId3" Type="http://schemas.openxmlformats.org/officeDocument/2006/relationships/hyperlink" Target="http://eur-lex.europa.eu/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509C4-C4AC-4138-BA04-CDF800D1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LibreOffice/7.2.6.2$Windows_X86_64 LibreOffice_project/b0ec3a565991f7569a5a7f5d24fed7f52653d754</Application>
  <AppVersion>15.0000</AppVersion>
  <Pages>5</Pages>
  <Words>1297</Words>
  <Characters>9183</Characters>
  <CharactersWithSpaces>10424</CharactersWithSpaces>
  <Paragraphs>193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2024-02-25T20:40:00Z</dcterms:created>
  <dc:creator>Anna Łukasiewicz</dc:creator>
  <dc:description/>
  <dc:language>pl-PL</dc:language>
  <cp:lastModifiedBy>STANISŁAW</cp:lastModifiedBy>
  <cp:lastPrinted>2019-01-23T11:10:00Z</cp:lastPrinted>
  <dcterms:modified xsi:type="dcterms:W3CDTF">2024-02-25T20:40:00Z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