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podstawowe</w:t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Prawo karne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Criminal law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I stopnia 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studia 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nauki prawne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dr Krzysztof Wiak,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5"/>
        <w:gridCol w:w="2299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15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IV</w:t>
            </w:r>
          </w:p>
        </w:tc>
        <w:tc>
          <w:tcPr>
            <w:tcW w:w="229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15</w:t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IV</w:t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9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3"/>
        <w:gridCol w:w="6838"/>
      </w:tblGrid>
      <w:tr>
        <w:trPr/>
        <w:tc>
          <w:tcPr>
            <w:tcW w:w="23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3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Wykład i ćwiczenia są przeznaczone są dla studentów IV roku studiów stacjonarnych;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Studenci powinni posiadać znajomość podstaw prawa i terminologii prawniczej na poziomie wymaganym do zaliczenia I roku Bezpieczeństwa Narodowego.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C1 - Przedstawienie podstawowej wiedzy o miejscu i znaczeniu prawa karnego w systemie nauk i relacjach do innych gałęzi, kształtowaniu się i genezie instytucji prawa karnego, głównych kierunkach ewolucji i najważniejszych osiągnięciach w zakresie prawodawstwa karnego i oddziaływania historycznie ukształtowanych instytucji prawnokarnych na współczesne systemy prawa.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C2 - Zapoznanie z podstawowymi pojęciami z zakresu prawa karnego, źródłami prawa z zakresu prawa karnego, hierarchią norm prawnych oraz ogólnymi zasadami tworzenia prawa karnego i jego stosowania (proces legislacyjny, moc wiążąca, niekonstytucyjność).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C3 - Zaznajomienie z zasadami wykładni przepisów prawa karnego, przedstawienie podstawowych cech, funkcji i zasad prawa karnego oraz informacji o podmiotach prawa karnego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C4 - Zapoznanie z podstawowymi instytucjami prawa karnego oraz przedstawienie pogłębionej wiedzy w odniesieniu do wybranych instytucji z zakresu prawa karnego – w szczególności zapoznanie z zasadami odpowiedzialności karnej, katalogiem środków penalnych oraz zasadami i dyrektywami wymiaru kary.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cs="Times New Roman" w:ascii="Times New Roman" w:hAnsi="Times New Roman"/>
                <w:color w:val="333333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Efekty uczenia się dla przedmiotu wraz z odniesieniem do efektów kierunkowych</w:t>
      </w:r>
    </w:p>
    <w:p>
      <w:pPr>
        <w:pStyle w:val="Normal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3"/>
        </w:rPr>
        <w:t xml:space="preserve"> </w:t>
      </w:r>
    </w:p>
    <w:tbl>
      <w:tblPr>
        <w:tblStyle w:val="Tabela-Siatka"/>
        <w:tblW w:w="9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7"/>
        <w:gridCol w:w="5954"/>
        <w:gridCol w:w="2160"/>
      </w:tblGrid>
      <w:tr>
        <w:trPr/>
        <w:tc>
          <w:tcPr>
            <w:tcW w:w="10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>
          <w:trHeight w:val="41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 xml:space="preserve">Zna miejsce i znaczenie nauk prawnych (w tym prawa karnego) w systemie nauk i ich relacje  do innych nauk i dyscyplin naukowych. 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K_W01</w:t>
            </w:r>
          </w:p>
        </w:tc>
      </w:tr>
      <w:tr>
        <w:trPr>
          <w:trHeight w:val="294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Zna i rozumie główne tendencje rozwojowe instytucji z zakresu prawa karnego, w tym główne kierunki ewolucji i najważniejsze osiągnięcia w zakresie ustroju i prawodawstwa.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Rozumie oddziaływanie historycznie ukształtowanych  instytucji prawnych z zakresu prawa karnego  na  współczesne systemy  prawa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K_W02</w:t>
            </w:r>
          </w:p>
        </w:tc>
      </w:tr>
      <w:tr>
        <w:trPr>
          <w:trHeight w:val="312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W_03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Zna i rozumie terminologię prawniczą z zakresu prawa karnego,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K_W03</w:t>
            </w:r>
          </w:p>
        </w:tc>
      </w:tr>
      <w:tr>
        <w:trPr>
          <w:trHeight w:val="330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W_04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Ma uporządkowaną wiedzę o zasadach wykładni prawa karnego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K_W05</w:t>
            </w:r>
          </w:p>
        </w:tc>
      </w:tr>
      <w:tr>
        <w:trPr>
          <w:trHeight w:val="34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W_05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Ma podstawową wiedzę dotyczącą cech i funkcji prawa karnego i rozumie zasady jego funkcjonowania. Ma pogłębioną wiedzę o podmiotach uczestniczących w stosunkach prawnych właściwych dla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K_W06</w:t>
            </w:r>
          </w:p>
        </w:tc>
      </w:tr>
      <w:tr>
        <w:trPr>
          <w:trHeight w:val="35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W_06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Ma uporządkowaną wiedzę  o różnych rodzajach instytucji  prawnych z zakresu prawa karnego. Zna i rozumie uwarunkowania prawne, ekonomiczne i etyczne funkcjonowania instytucji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K_W07</w:t>
            </w:r>
          </w:p>
        </w:tc>
      </w:tr>
      <w:tr>
        <w:trPr>
          <w:trHeight w:val="300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W_07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 xml:space="preserve">Zna prawne zależności między strukturami organizacyjnymi a instytucjami społecznymi, gospodarczymi w aspekcie prawa karnego w skali krajowej i międzynarodowej.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K_W08</w:t>
            </w:r>
          </w:p>
        </w:tc>
      </w:tr>
      <w:tr>
        <w:trPr>
          <w:trHeight w:val="396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W_08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Dysponuje wiedzą o metodach i narzędziach pozyskiwania danych właściwych dla prawa karnego, pozwalających opisywać struktury i instytucje prawne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K_W10</w:t>
            </w:r>
          </w:p>
        </w:tc>
      </w:tr>
      <w:tr>
        <w:trPr>
          <w:trHeight w:val="41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W_09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zaawansowaną wiedzę o normach prawnych dotyczących struktur i instytucji prawnych oraz rządzących nimi prawidłowościach. Identyfikuje w tym zakresie kierunki rozwoju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K_W11</w:t>
            </w:r>
          </w:p>
        </w:tc>
      </w:tr>
      <w:tr>
        <w:trPr>
          <w:trHeight w:val="368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W_10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Ma uporządkowaną wiedzę o procedurach prawnych  i procesie ich stosowania (w zakresie prawa karnego)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K_W12</w:t>
            </w:r>
          </w:p>
        </w:tc>
      </w:tr>
      <w:tr>
        <w:trPr>
          <w:trHeight w:val="402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W_11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hd w:fill="EEEEEE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Dysponuje wiedzą na temat projektowania ścieżki własnego rozwoju.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K_W14</w:t>
            </w:r>
          </w:p>
        </w:tc>
      </w:tr>
      <w:tr>
        <w:trPr>
          <w:trHeight w:val="421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W_12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Zna zasady i normy etyczne obowiązujących zarówno w nauce, jak i w przyszłym wykonywaniu zawodów prawniczych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K_W15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dokonywać obserwacji i interpretacji zjawisk społecznych, gospodarczych, analizuje ich powiązania z prawem karnym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wykorzystać podstawową wiedzę teoretyczną z zakresu prawa karnego w celu analizowania  i interpretowania  konkretnych (typowych i nietypowych) procesów  i zjawisk  prawnych, gospodarczych, społecznych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posługiwać się pojęciami prawnymi z zakresu prawa karnego w celu analizowania zjawisk prawnych oraz formułowania i rozwiązywania problemów,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U_04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samodzielnie zdobywać wiedzę i rozwijać swoje profesjonalne  umiejętności, korzystając z różnych źródeł w nowoczesnych technologiach (ICT)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U_05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podstawowe umiejętności badawcze obejmujące: formułowanie, testowanie i analizę problemów prawnych, dobór  metod i narzędzi badawczych służących opracowaniu i prezentacji hipotez oraz wyników pozwalających na rozwiązywanie problemów z zakresu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U_06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umiejętność identyfikowania przyczyn i przebiegu wybranych procesów i zjawisk  społecznych, gospodarczych, politycznych oraz prognozowania ich skutków w zakresie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U_07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w sposób spójny formułować hipotezy w języku prawniczym, na tematy dotyczące wybranych zagadnień z zakresu prawa karnego, przy wykorzystaniu różnych ujęć teoretycznych, korzystając zarówno z dorobku nauk prawnych (z zakresu prawa karnego),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U_08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używać języka prawnego w celu komunikowania się ze zróżnicowanym kręgiem odbiorców, przy użyciu różnych technik informacyjno-komunikacyjnych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K_U08</w:t>
            </w:r>
          </w:p>
        </w:tc>
      </w:tr>
      <w:tr>
        <w:trPr>
          <w:trHeight w:val="1169" w:hRule="atLeast"/>
        </w:trPr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U_09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Posiada umiejętność właściwego doboru źródeł i informacji z nich pochodzących w celu merytorycznej oceny, krytycznej analizy, syntezy i twórczej argumentacji problemów oraz prezentacji ich w zakresie prawa karnego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U_10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 xml:space="preserve">Potrafi pracować w zespole pełniąc różne funkcje, w tym kierując jego pracami, umie przyjmować i wyznaczać zadania oraz prowadzić debatę. Ma elementarne umiejętności organizacyjne pozwalające na realizację celów związanych z projektowaniem i podejmowaniem działań profesjonalnych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U_11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Potrafi samodzielnie planować i realizować własne uczenie się przez całe życie, w tym uzupełniać i doskonalić nabytą wiedzę z prawa karnego i umiejętności, a także ukierunkować innych w tym zakresie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K_U12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Jest gotów do oceny poziomu posiadanej wiedzy i umiejętności, rozumie znaczenie odpowiedzialnego wypełniania swojej roli zawodowej, także w sytuacjach zmieniających się potrzeb społecznych. Uznaje konieczność rozwoju zawodowego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 xml:space="preserve">Uznaje znaczenie wiedzy prawniczej w rozwiązywaniu problemów poznawczych i praktycznych w różnych zakresach i formach do rozstrzygania dylematów z zakresu prawa karnego pojawiających się w pracy zawodowej oraz jest gotów do zasięgania opinii ekspertów w razie trudności z samodzielnym rozwiązywaniem problemu prawnokarnego.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K_03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Cs w:val="22"/>
                <w:lang w:val="pl-PL" w:eastAsia="pl-PL" w:bidi="ar-SA"/>
              </w:rPr>
              <w:t>Potrafi odpowiedzialnie oceniać priorytety służące realizacji  określonego lub narzuconego zadania, dba o terminową i  efektywną realizację  zadań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K_K03</w:t>
            </w:r>
          </w:p>
        </w:tc>
      </w:tr>
      <w:tr>
        <w:trPr/>
        <w:tc>
          <w:tcPr>
            <w:tcW w:w="1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0" w:name="__DdeLink__448_1470564215"/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K_04</w:t>
            </w:r>
            <w:bookmarkEnd w:id="0"/>
          </w:p>
        </w:tc>
        <w:tc>
          <w:tcPr>
            <w:tcW w:w="5954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Jest przygotowany do przestrzegania i rozwijania zasad etyki zawodowej. Potrafi wskazywać i rozstrzygać problemy moralne i dylematy etyczne związane z własną lub cudzą pracą i działalnością</w:t>
            </w:r>
          </w:p>
        </w:tc>
        <w:tc>
          <w:tcPr>
            <w:tcW w:w="21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K_K04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K_05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Jest przygotowany do inicjowania i realizacji działań na rzecz interesu  publicznego w szczególności projektów społecznych, obywatelskich uwzględniając aspekt prawa karnego. Potrafi przewidzieć wielokierunkowe skutki społeczne i prawne swojej działalności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K_K05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K_06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Jest gotów do samodzielnego podejmowania decyzji w oparciu o normy etyczne i prawne, na podstawie krytycznej oceny siebie oraz zespołów i organizacji, w których uczestniczy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K_K06</w:t>
            </w:r>
          </w:p>
        </w:tc>
      </w:tr>
      <w:tr>
        <w:trPr/>
        <w:tc>
          <w:tcPr>
            <w:tcW w:w="109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K_07</w:t>
            </w:r>
          </w:p>
        </w:tc>
        <w:tc>
          <w:tcPr>
            <w:tcW w:w="595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pl-PL" w:eastAsia="pl-PL" w:bidi="ar-SA"/>
              </w:rPr>
              <w:t>Odpowiedzialnie wypełnia swoją rolę zawodową oraz zobowiązania społeczne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K_K07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Opis przedmiotu/ treści programowe</w:t>
      </w:r>
    </w:p>
    <w:p>
      <w:pPr>
        <w:pStyle w:val="Normal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333333"/>
          <w:shd w:fill="FFFFFF" w:val="clear"/>
        </w:rPr>
        <w:t>Podstawowe pojęcia prawa karnego, ustawa karna i jej stosowanie, źródła prawa karnego, budowa i wykładnia przepisów prawa karnego, obowiązywanie ustawy karnej pod względem czasu i przestrzeni, nauka o przestępstwie, klasyfikacja przestępstw, okoliczności wyłączające bezprawność i winę, formy stadialne i zjawiskowe przestępstwa, nauka o karze, systematyka kar i</w:t>
      </w:r>
      <w:r>
        <w:rPr>
          <w:rFonts w:cs="Times New Roman" w:ascii="Times New Roman" w:hAnsi="Times New Roman"/>
          <w:color w:val="333333"/>
          <w:shd w:fill="EEEEEE" w:val="clear"/>
        </w:rPr>
        <w:t xml:space="preserve"> </w:t>
      </w:r>
      <w:r>
        <w:rPr>
          <w:rFonts w:cs="Times New Roman" w:ascii="Times New Roman" w:hAnsi="Times New Roman"/>
          <w:color w:val="333333"/>
          <w:shd w:fill="FFFFFF" w:val="clear"/>
        </w:rPr>
        <w:t>środków karnych, zasady wymiaru kary i środków karnych,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7"/>
        <w:gridCol w:w="2649"/>
        <w:gridCol w:w="2827"/>
        <w:gridCol w:w="2648"/>
      </w:tblGrid>
      <w:tr>
        <w:trPr/>
        <w:tc>
          <w:tcPr>
            <w:tcW w:w="10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>
          <w:trHeight w:val="382" w:hRule="atLeast"/>
        </w:trPr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K_W01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K_W02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Wykład konwencjonalny 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K_W03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praca z tekstem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K_W05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K_W06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K_W07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K_W08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K_W10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Praca z tekstem, studium przypadku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K_W11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K_W12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K_W14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Dyskusja, studium przypadku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K_W15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Wykład konwencjonalny,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K_U01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K_U02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K_U03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K_U04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Analiza tekstu,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K_U05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K_U06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K_U07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K_U08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Analiza tekstu,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K_U09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Analiza tekstu, 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K_U10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K_U12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Studium przypadku, 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K_K01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K_K02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K_K03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K_K04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K_K05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K_K06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  <w:tr>
        <w:trPr/>
        <w:tc>
          <w:tcPr>
            <w:tcW w:w="10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K_K07</w:t>
            </w:r>
          </w:p>
        </w:tc>
        <w:tc>
          <w:tcPr>
            <w:tcW w:w="2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Egzamin pisemny, Kolokwium/test/sprawdzian pisemny</w:t>
            </w:r>
          </w:p>
        </w:tc>
        <w:tc>
          <w:tcPr>
            <w:tcW w:w="26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Karta egzaminacyjna/ karta zaliczeniowa, Uzupełnione i ocenione kolokwium/test/sprawdzian pisemny/ egzamin pisemny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Kryteria oceny, wagi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Warunkiem uzyskania z ćwiczeń oceny 3.0 jest zdobycie co najmniej 51% punktów z każdego z 2 pisemnych kolokwiów.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 xml:space="preserve">Warunkiem przystąpienia do egzaminu jest zaliczenie na ocenę pozytywną ćwiczeń z przedmiotu Prawo karne. Warunkiem uzyskania oceny 3.0 z egzaminu jest uzyskanie co </w:t>
      </w:r>
      <w:r>
        <w:rPr>
          <w:rFonts w:cs="Times New Roman" w:ascii="Times New Roman" w:hAnsi="Times New Roman"/>
          <w:sz w:val="24"/>
          <w:szCs w:val="24"/>
        </w:rPr>
        <w:t>najmniej 51% ogólnej liczby punktów z egzaminu pisemnego, składającego się z 2 części: testu jednokrotnego wyboru i kazusu (ocenianego pod względem prawidłowości zaproponowanego rozwiązania i wykorzystanej argumentacji prawnej).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Kryteria oceny (zarówno w przypadku egzaminu końcowego, jak i kolokwiów zaliczeniowych i prac pisemnych w trakcie semestru) 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50 % lub mniej – ocena niedostateczna (2,0)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 51 do 60 %. - ocena dostateczna (3,0),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 61 do 70 %. - ocena dostateczna plus (3,5),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 71 do 80 %. - ocena dobra (4,0),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od 81 do 90 %. - ocena dobra plus (4,5),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</w:rPr>
        <w:t>od 91 do 100 %. - ocena bardzo dobra (5,0).</w:t>
      </w:r>
      <w:bookmarkStart w:id="1" w:name="_Hlk87524541"/>
      <w:bookmarkEnd w:id="1"/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333333"/>
          <w:sz w:val="24"/>
          <w:szCs w:val="24"/>
          <w:shd w:fill="EEEEEE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EEEEEE" w:val="clear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Obciążenie pracą studenta</w:t>
      </w:r>
    </w:p>
    <w:tbl>
      <w:tblPr>
        <w:tblStyle w:val="Tabela-Siatka"/>
        <w:tblW w:w="1073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6129"/>
      </w:tblGrid>
      <w:tr>
        <w:trPr>
          <w:trHeight w:val="564" w:hRule="atLeast"/>
        </w:trPr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612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612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shd w:fill="FFFF00" w:val="clear"/>
                <w:lang w:val="pl-PL" w:eastAsia="en-US" w:bidi="ar-SA"/>
              </w:rPr>
              <w:t>15 – wykład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shd w:fill="FFFF00" w:val="clear"/>
                <w:lang w:val="pl-PL" w:eastAsia="en-US" w:bidi="ar-SA"/>
              </w:rPr>
              <w:t>15 – ćwiczenia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612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lang w:val="pl-PL" w:eastAsia="en-US" w:bidi="ar-SA"/>
              </w:rPr>
              <w:t>30 – wykład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Cs w:val="22"/>
                <w:lang w:val="pl-PL" w:eastAsia="en-US" w:bidi="ar-SA"/>
              </w:rPr>
              <w:t>30 - ćwiczenia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Literatura </w:t>
      </w:r>
    </w:p>
    <w:tbl>
      <w:tblPr>
        <w:tblStyle w:val="Tabela-Siatk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333333"/>
              </w:rPr>
            </w:pPr>
            <w:r>
              <w:rPr>
                <w:rFonts w:cs="Times New Roman" w:ascii="Times New Roman" w:hAnsi="Times New Roman"/>
                <w:i/>
                <w:iCs/>
                <w:color w:val="333333"/>
              </w:rPr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color w:val="333333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333333"/>
                <w:kern w:val="0"/>
                <w:szCs w:val="22"/>
                <w:lang w:val="pl-PL" w:eastAsia="en-US" w:bidi="ar-SA"/>
              </w:rPr>
              <w:t>Ustawa z dnia 6 czerwca 1997 r. – Kodeks karny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333333"/>
                <w:kern w:val="0"/>
                <w:szCs w:val="22"/>
                <w:lang w:val="pl-PL" w:eastAsia="en-US" w:bidi="ar-SA"/>
              </w:rPr>
              <w:t>Prawo karne (Skrypty Becka)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 xml:space="preserve">, red. A. Grześkowiak, K. Wiak, Warszawa 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2023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. </w:t>
              <w:br/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cs="Times New Roman" w:ascii="Times New Roman" w:hAnsi="Times New Roman"/>
                <w:color w:val="333333"/>
              </w:rPr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333333"/>
                <w:kern w:val="0"/>
                <w:szCs w:val="22"/>
                <w:lang w:val="pl-PL" w:eastAsia="en-US" w:bidi="ar-SA"/>
              </w:rPr>
              <w:t>Prawo karne. Pytania, kazusy, tablice, testy (Repetytoria Becka)</w:t>
            </w:r>
            <w:r>
              <w:rPr>
                <w:rFonts w:eastAsia="Calibri" w:cs="Times New Roman" w:ascii="Times New Roman" w:hAnsi="Times New Roman"/>
                <w:color w:val="333333"/>
                <w:kern w:val="0"/>
                <w:szCs w:val="22"/>
                <w:lang w:val="pl-PL" w:eastAsia="en-US" w:bidi="ar-SA"/>
              </w:rPr>
              <w:t>, red. K. Wiak, Warszawa 2023;</w:t>
            </w:r>
          </w:p>
          <w:p>
            <w:pPr>
              <w:pStyle w:val="Normal"/>
              <w:widowControl w:val="false"/>
              <w:shd w:val="clear" w:color="auto" w:fill="FFF200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3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433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433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17C0-F818-4F47-819B-B6517CD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LibreOffice/7.2.6.2$Windows_X86_64 LibreOffice_project/b0ec3a565991f7569a5a7f5d24fed7f52653d754</Application>
  <AppVersion>15.0000</AppVersion>
  <Pages>7</Pages>
  <Words>1895</Words>
  <Characters>14071</Characters>
  <CharactersWithSpaces>15693</CharactersWithSpaces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2024-04-09T19:51:00Z</dcterms:created>
  <dc:creator>Krzysztof Wiak</dc:creator>
  <dc:description/>
  <dc:language>pl-PL</dc:language>
  <cp:lastModifiedBy>Wiak Krzysztof</cp:lastModifiedBy>
  <cp:lastPrinted>2019-09-06T16:28:00Z</cp:lastPrinted>
  <dcterms:modified xsi:type="dcterms:W3CDTF">2024-04-09T19:51:00Z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