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Przemyt ludzi i towarów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4"/>
                <w:szCs w:val="24"/>
                <w:lang w:val="pl-PL" w:eastAsia="en-US" w:bidi="ar-SA"/>
              </w:rPr>
              <w:t>Smuggling of people and goods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stopień, II rok, semestr III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Alicja Zyguła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4"/>
        <w:gridCol w:w="2304"/>
        <w:gridCol w:w="2300"/>
      </w:tblGrid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30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podstawowych zagadnień z zakresu bezpieczeństwa.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C1 - Zapoznanie z głównymi zagadnieniami dotyczącymi zasad przekraczania granic przez ludzi i towary.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C2 - Przekazanie wiedzy nt. zagrożeń związanych z przemytem osób i towarów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C3 - Ukierunkowanie na potrzebę samodzielnego, krytycznego analizowania zjawisk w obszarze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Bezpieczeństwa transgranicznego.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8"/>
        <w:gridCol w:w="5953"/>
        <w:gridCol w:w="2160"/>
      </w:tblGrid>
      <w:tr>
        <w:trPr/>
        <w:tc>
          <w:tcPr>
            <w:tcW w:w="1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Fontstyle01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Absolwent rozumie istotę przemytu oraz jego zagrożenia dla bezpieczeństwa </w:t>
            </w:r>
            <w:r>
              <w:rPr>
                <w:rStyle w:val="Markedcontent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zarówno w skali społecznej,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Markedcontent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ogólnopaństwowej, jak i międzynarodowej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Fontstyle01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Absolwent posiada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 wiedzę dotyczącą dziedziny nauk społecznych, w tym odnoszącą się do prowadzenia badań nad bezpieczeństwem ruchu osobowego i towarowego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pl-PL" w:eastAsia="pl-PL" w:bidi="ar-SA"/>
              </w:rPr>
              <w:t xml:space="preserve">granic wewnętrznych i zewnętrznych Unii Europejskiej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przy pomocy odpowiednich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metod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Fontstyle01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Absolwent potrafi wykorzystywać zdobytą wiedzę teoretyczną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do analizowania, diagnozowania, wyjaśniania oraz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prognozowania kwestii szczegółowych odnoszących się problematyki przemytu ludzi i towarów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Absolwent potrafi oceniać zagrożenia i ich przyczyny oraz budować strategie działań dotyczących przeciwdziałania przemytowi na poziomie krajowym i unijnym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Fontstyle01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Absolwent jest gotowy do </w:t>
            </w:r>
            <w:r>
              <w:rPr>
                <w:rStyle w:val="Markedcontent"/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myślenia oraz działania w sposób prospołeczny w identyfikowaniu zagrożeń w przemycie osób i towarów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pl-PL" w:eastAsia="pl-PL" w:bidi="ar-SA"/>
              </w:rPr>
              <w:t>Przestępczość transgraniczna – pojęcie rodzaje i formy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Transgraniczne wyzwania bezpieczeństwa.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20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4"/>
                <w:szCs w:val="24"/>
                <w:lang w:val="pl-PL" w:eastAsia="en-US" w:bidi="ar-SA"/>
              </w:rPr>
              <w:t xml:space="preserve">Zasady przekraczania granic RP. System ochrony granic.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pl-PL" w:eastAsia="pl-PL" w:bidi="ar-SA"/>
              </w:rPr>
              <w:t>Nielegalne przekroczenie granicy – wykroczenia i przestępstwa w zakresie przekraczania granic (KW i KK).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Nielegalna migracja- aktualne problemy polityki migracyjnej.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Przepływ towarów przez granice wewnętrzne i zewnętrzne UE/Schengen- zasady i ograniczenia.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pl-PL" w:eastAsia="pl-PL" w:bidi="ar-SA"/>
              </w:rPr>
              <w:t xml:space="preserve">Handel ludźmi jako zagrożenie dla bezpieczeństwa państw i społeczeństw.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pl-PL" w:eastAsia="pl-PL" w:bidi="ar-SA"/>
              </w:rPr>
              <w:t>Fałszerstwa dokumentów oraz przemyt dzieł sztuki -istota i skala zjawiska.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pl-PL" w:eastAsia="pl-PL" w:bidi="ar-SA"/>
              </w:rPr>
              <w:t>Rola SG i KAS w przeciwdziałaniu przemytowi osób i towarów.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pl-PL" w:eastAsia="pl-PL" w:bidi="ar-SA"/>
              </w:rPr>
              <w:t>Polityka celna UE. Polska polityka celna w świetle umów międzynarodowych.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Zjawisko przemytu w Europie i USA.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8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pl-PL" w:eastAsia="pl-PL" w:bidi="ar-SA"/>
              </w:rPr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9"/>
        <w:gridCol w:w="2695"/>
        <w:gridCol w:w="2834"/>
        <w:gridCol w:w="2583"/>
      </w:tblGrid>
      <w:tr>
        <w:trPr/>
        <w:tc>
          <w:tcPr>
            <w:tcW w:w="10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konwencjonalny, konwersatoryjny, problemowy, udział w konferencjach naukowych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 pisemne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Metoda projektu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ind w:left="1080" w:hanging="0"/>
        <w:rPr>
          <w:b/>
          <w:b/>
        </w:rPr>
      </w:pPr>
      <w:r>
        <w:rPr>
          <w:bCs/>
        </w:rPr>
        <w:t>Systematyczna obecność na zajęciach. Zaliczenie lektur. Udział w wydarzeniach (konferencje tematyczne, seminaria) związanych z tematyką zajęć. Egzamin w formie pisemnej. Zaliczenie ćwiczeń.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15+30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KATARZYNA LASKOWSKA: Kryminologiczne aspekty przestępczości granicznej.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D. Magierek: Rola Straży Granicznej w zapewnieniu bezpieczeństwa Polski.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B. Wiśniewski, R. Jakubczak, System ochrony granicy państwowej Rzeczpospolitej Polskiej. Stan obecny i prognozy na przyszłość.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P. Witkowski, Instrumenty polityki celnej UE.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Mikołajczyk, Problemy i zagrożenia wynikające z nielegalnej migracji, „Biuletyn Centralnego Ośrodka Szkolenia Straży Granicznej” 1998, nr 5, s. 40.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Fontstyle01" w:customStyle="1">
    <w:name w:val="fontstyle01"/>
    <w:basedOn w:val="DefaultParagraphFont"/>
    <w:qFormat/>
    <w:rsid w:val="00807ef2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Markedcontent" w:customStyle="1">
    <w:name w:val="markedcontent"/>
    <w:basedOn w:val="DefaultParagraphFont"/>
    <w:qFormat/>
    <w:rsid w:val="00807ef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D0BD-05CE-401E-B6F4-108717C2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LibreOffice/7.2.6.2$Windows_X86_64 LibreOffice_project/b0ec3a565991f7569a5a7f5d24fed7f52653d754</Application>
  <AppVersion>15.0000</AppVersion>
  <Pages>4</Pages>
  <Words>576</Words>
  <Characters>4018</Characters>
  <CharactersWithSpaces>4446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2023-10-29T09:48:00Z</dcterms:created>
  <dc:creator>Anna Łukasiewicz</dc:creator>
  <dc:description/>
  <dc:language>pl-PL</dc:language>
  <cp:lastModifiedBy/>
  <cp:lastPrinted>2019-01-23T11:10:00Z</cp:lastPrinted>
  <dcterms:modified xsi:type="dcterms:W3CDTF">2023-12-08T12:19:47Z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