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="0"/>
              <w:jc w:val="left"/>
              <w:outlineLvl w:val="2"/>
              <w:rPr>
                <w:rFonts w:ascii="Calibri" w:hAnsi="Calibri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Zasoby i inwestycje strategiczne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Resources and strategic investments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Nauki o zarządzaniu i jakości 50%, nauki o polityce i administracji 50%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Koordynator przedmiotu/osoba odpowiedzialna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Dr hab. Kinga Machowicz, prof. KUL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Forma zajęć</w:t>
            </w:r>
            <w:r>
              <w:rPr>
                <w:rFonts w:eastAsia="" w:cs=""/>
                <w:i/>
                <w:kern w:val="0"/>
                <w:sz w:val="22"/>
                <w:szCs w:val="22"/>
                <w:lang w:val="pl-PL" w:eastAsia="pl-PL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III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III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Znajomość podstawowych zagadnień z zakresu wiedzy o Polsce i świecie współczesnym.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Nabycie wiedzy i umiejętności dotyczących diagnozy w zakresie zasobów i potrzeb rozwojowych Polski oraz państw mogących mieć wpływ na bezpieczeństwo Polski.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Nabycie wiedzy i umiejętności w zakresie rozumienia i oceny dokumentów strategicznych.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4"/>
        <w:gridCol w:w="5832"/>
        <w:gridCol w:w="2136"/>
      </w:tblGrid>
      <w:tr>
        <w:trPr/>
        <w:tc>
          <w:tcPr>
            <w:tcW w:w="10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Opis efektu przedmiotowego</w:t>
            </w:r>
          </w:p>
        </w:tc>
        <w:tc>
          <w:tcPr>
            <w:tcW w:w="21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WIEDZA</w:t>
            </w:r>
            <w:r>
              <w:rPr>
                <w:rFonts w:eastAsia="" w:cs="Arial" w:ascii="Arial" w:hAnsi="Arial"/>
                <w:bCs/>
                <w:kern w:val="0"/>
                <w:sz w:val="20"/>
                <w:szCs w:val="20"/>
                <w:lang w:val="pl-PL" w:eastAsia="pl-PL" w:bidi="ar-SA"/>
              </w:rPr>
              <w:t xml:space="preserve"> absolwent zna i rozumie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K_W02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istotę oraz uwarunkowania bezpieczeństwa zarówno w skali społecznej, ogólnopaństwowej, jak i międzynarodowej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P6U_W2 P6S_WK1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K_W03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wiedzę dotyczącą dziedziny nauk społecznych, w tym odnoszącą się do prowadzenia badań nad bezpieczeństwem przy pomocy odpowiednich metod, technik i narzędzi badawczych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P6U_W1 P6S_WG1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UMIEJĘTNOŚCI absolwent potrafi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wykorzystywać zdobytą wiedzę teoretyczną do analizowania, diagnozowania, wyjaśniania oraz prognozowania kwestii szczegółowych</w:t>
            </w: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odnoszących się do bezpieczeństwa społecznego, państwowego i międzynarodowego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P6U_U1 P6S_UW1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budować strategie działań dotyczących bezpieczeństwa społecznego, państwowego i międzynarodowego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P6U_U3 P6S_UW1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rozwiązywać konkretne problemy związane z bezpieczeństwem, prognozować działania oraz przewidywać skutki tych że działań,</w:t>
            </w: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wykorzystując przy tym nabytą wiedzę teoretyczną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P6U_U1 P6S_UW1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K_U05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prawidłowo oceniać zagrożenia dla bezpieczeństwa oraz identyfikować ich przyczyny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P6U_U1 P6S_UW1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K_U08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Markedcontent"/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planować, organizować pracę zespołu i współpracować w grupie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P6U_U1 P6S_UO1</w:t>
            </w: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P6S_UO2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KOMPETENCJE SPOŁECZNE absolwent jest gotów do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K_K02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myślenia oraz działania w sposób przedsiębiorczy i prospołeczny</w:t>
            </w:r>
          </w:p>
        </w:tc>
        <w:tc>
          <w:tcPr>
            <w:tcW w:w="21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P6U_K2</w:t>
            </w: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P6S_K01</w:t>
            </w: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P6S_K02</w:t>
            </w: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P6S_K03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Wykłady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Przedstawienie programu przedmiotu i wymagań egzaminacyjnych. Siatka pojęciowa.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Środowisko bezpieczeństwa na przykładzie Polski.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Wartości, interesy narodowe i cele strategiczne </w:t>
            </w: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na przykładzie Polski.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Zarządzanie bezpieczeństwem narodowym.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Odporność państwa i obrona powszechna.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Siły Zbrojne.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Dane i informacje jako zasoby strategiczne.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Geopolityczne uwarunkowania bezpieczeństwa państwa w perspektywie długookresowej.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Tożsamość i dziedzictwo narodowe.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Zdrowie i ochrona rodziny.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Polityka migracyjna.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Bezpieczeństwo ekonomiczne.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Bezpieczeństwo energetyczne.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Ochrona środowiska naturalnego.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</w:rPr>
            </w:pPr>
            <w:r>
              <w:rPr>
                <w:rFonts w:eastAsia=""/>
                <w:kern w:val="0"/>
                <w:sz w:val="22"/>
                <w:szCs w:val="22"/>
                <w:lang w:val="pl-PL" w:eastAsia="pl-PL" w:bidi="ar-SA"/>
              </w:rPr>
              <w:t>Potencjał naukowy i technologiczny.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Ćwiczenia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 xml:space="preserve">Zapoznanie z programem zajęć i warunkami zaliczenia ćwiczeń. </w:t>
            </w: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Analiza SWOT jako narzędzie przydatne do prognozowania. Znaczenie analizy scenariuszowej jako narzędzia do ewaluowania realizacji strategii. Zasady planowania strategicznego. Utworzenie zespołów do wykonywania poszczególnych zdań.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 xml:space="preserve">Cyberbezpieczeństwo i przestrzeń informacyjna </w:t>
            </w: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– dyskusja nad wynikami poszukiwań informacji prowadzonych przez poszczególne zespoły</w:t>
            </w: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Strategiczne zasoby osób fizycznych.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Analiza SWOT Rosji i Białorusi.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Analiza SWOT Czech i Słowacji.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Analiza SWOT Niemiec i państw bałtyckich.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Analiza SWOT państw Półwyspu Skandynawskiego.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Analiza SWOT Ukrainy.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Demokratyczny ustrój państwa, wartości i ochrona godności i praw człowieka jako zasoby strategiczne – dyskusja nad wynikami poszukiwań informacji prowadzonych przez poszczególne zespoły lub udział w konferencjach organizowanych przez KUL.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 xml:space="preserve">Własność intelektualna jako zasób strategiczny i ochrona przed szpiegostwem przemysłowym – </w:t>
            </w:r>
            <w:r>
              <w:rPr>
                <w:rFonts w:eastAsia="" w:cs=""/>
                <w:bCs/>
                <w:i/>
                <w:iCs/>
                <w:kern w:val="0"/>
                <w:sz w:val="22"/>
                <w:szCs w:val="22"/>
                <w:lang w:val="pl-PL" w:eastAsia="pl-PL" w:bidi="ar-SA"/>
              </w:rPr>
              <w:t>case studies</w:t>
            </w: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 xml:space="preserve"> domniemanych naruszeń własności intelektualnej przez wywiady państw.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Surowce naturalne jako zasoby strategiczne wybranych państw i wpływ dysponowania surowcami na politykę wewnętrzną i zagraniczną – dyskusja nad wynikami poszukiwań informacji prowadzonych przez poszczególne zespoły lub udział w konferencjach organizowanych przez KUL.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Mechanizmy powstawania kryzysów gospodarczych i ich wpływ na politykę wewnętrzną i zagraniczną – dyskusja nad wynikami poszukiwań informacji prowadzonych przez poszczególne zespoły lub udział w konferencjach organizowanych przez KUL.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Inwestycje w zakresie zapewniania bezpieczeństwa ekonomicznego i zdrowia publicznego w wybranych państwach – dyskusja nad wynikami poszukiwań informacji prowadzonych przez poszczególne zespoły lub udział w konferencjach organizowanych przez KUL.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Inwestycje w zakresie zapewniania bezpieczeństwa energetycznego w wybranych państwach – dyskusja nad wynikami poszukiwań informacji prowadzonych przez poszczególne zespoły lub udział w konferencjach organizowanych przez KUL.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bCs/>
              </w:rPr>
            </w:pPr>
            <w:r>
              <w:rPr>
                <w:rFonts w:eastAsia="" w:cs=""/>
                <w:bCs/>
                <w:kern w:val="0"/>
                <w:sz w:val="22"/>
                <w:szCs w:val="22"/>
                <w:lang w:val="pl-PL" w:eastAsia="pl-PL" w:bidi="ar-SA"/>
              </w:rPr>
              <w:t>Pisemne zaliczenie.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" w:cs="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rPr>
          <w:rStyle w:val="Markedcontent"/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7"/>
        <w:gridCol w:w="2625"/>
        <w:gridCol w:w="2766"/>
        <w:gridCol w:w="2583"/>
      </w:tblGrid>
      <w:tr>
        <w:trPr/>
        <w:tc>
          <w:tcPr>
            <w:tcW w:w="108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Symbol efektu</w:t>
            </w:r>
          </w:p>
        </w:tc>
        <w:tc>
          <w:tcPr>
            <w:tcW w:w="262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i/>
                <w:kern w:val="0"/>
                <w:sz w:val="18"/>
                <w:szCs w:val="18"/>
                <w:lang w:val="pl-PL" w:eastAsia="pl-PL" w:bidi="ar-SA"/>
              </w:rPr>
              <w:t>(lista wyboru)</w:t>
            </w:r>
          </w:p>
        </w:tc>
        <w:tc>
          <w:tcPr>
            <w:tcW w:w="27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i/>
                <w:kern w:val="0"/>
                <w:sz w:val="18"/>
                <w:szCs w:val="18"/>
                <w:lang w:val="pl-PL" w:eastAsia="pl-PL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i/>
                <w:kern w:val="0"/>
                <w:sz w:val="18"/>
                <w:szCs w:val="18"/>
                <w:lang w:val="pl-PL" w:eastAsia="pl-PL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WIEDZA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K_W02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Wykład stacjonarny / Wykład na Teams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Napisany i oceniony test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K_W03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Wykład stacjonarny / Wykład na Teams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Napisany i oceniony test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UMIEJĘTNOŚCI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K_U01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Case study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Pisemne 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K_U02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Design thinking – burza mózgów, praca nad prototypowymi rozwiązaniami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Pisemne 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K_U03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Design thinking – burza mózgów, praca nad prototypowymi rozwiązaniami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Pisemne 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K_U05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Design thinking – burza mózgów, praca nad prototypowymi rozwiązaniami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Pisemne 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K_U08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Design thinking – burza mózgów, praca nad prototypowymi rozwiązaniami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Pisemne 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KOMPETENCJE SPOŁECZNE</w:t>
            </w:r>
          </w:p>
        </w:tc>
      </w:tr>
      <w:tr>
        <w:trPr/>
        <w:tc>
          <w:tcPr>
            <w:tcW w:w="1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Style w:val="Markedcontent"/>
                <w:rFonts w:eastAsia="" w:cs="Calibri" w:cstheme="minorHAnsi"/>
                <w:kern w:val="0"/>
                <w:sz w:val="22"/>
                <w:szCs w:val="22"/>
                <w:lang w:val="pl-PL" w:eastAsia="pl-PL" w:bidi="ar-SA"/>
              </w:rPr>
              <w:t>K_K02</w:t>
            </w:r>
          </w:p>
        </w:tc>
        <w:tc>
          <w:tcPr>
            <w:tcW w:w="26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Design thinking – burza mózgów, praca nad prototypowymi rozwiązaniami</w:t>
            </w:r>
          </w:p>
        </w:tc>
        <w:tc>
          <w:tcPr>
            <w:tcW w:w="27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Pisemne zaliczenie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Wypełniony protokół zaliczeniowy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jc w:val="both"/>
        <w:rPr/>
      </w:pPr>
      <w:r>
        <w:rPr/>
        <w:t xml:space="preserve">Egzamin pisemny w formie sprawdzianu z pytaniami testowymi wielokrotnego wyboru oraz zaliczenie na podstawie sprawdzianu w formie udzielenia pisemnych odpowiedzi na zadane pytania. </w:t>
      </w:r>
    </w:p>
    <w:p>
      <w:pPr>
        <w:pStyle w:val="Normal"/>
        <w:rPr>
          <w:b/>
          <w:b/>
        </w:rPr>
      </w:pPr>
      <w:r>
        <w:rPr/>
        <w:t>Ocena ndst: student nie ma wystarczającej wiedzy i umiejętności dotyczących diagnozy w zakresie zasobów i potrzeb rozwojowych Polski oraz państw mogących mieć wpływ na bezpieczeństwo Polski, a także w zakresie rozumienia i oceny dokumentów strategicznych.</w:t>
        <w:br/>
        <w:t>Ocena dst: student ma dostateczną wiedzę i umiejętności dotyczące diagnozy w zakresie zasobów i potrzeb rozwojowych Polski oraz państw mogących mieć wpływ na bezpieczeństwo Polski, a także w zakresie rozumienia i oceny dokumentów strategicznych.</w:t>
        <w:br/>
        <w:t>Ocena db: student ma dobrą wiedzę i umiejętności dotyczące diagnozy w zakresie zasobów i potrzeb rozwojowych Polski oraz państw mogących mieć wpływ na bezpieczeństwo Polski, a także w zakresie rozumienia i oceny dokumentów strategicznych.</w:t>
        <w:br/>
        <w:t>Ocena bdb: student ma dobrą wiedzę i umiejętności dotyczące diagnozy w zakresie zasobów i potrzeb rozwojowych Polski oraz państw mogących mieć wpływ na bezpieczeństwo Polski, a także w zakresie rozumienia i oceny dokumentów strategicznych.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" w:cs=""/>
                <w:i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" w:cs=""/>
                <w:b/>
                <w:kern w:val="0"/>
                <w:sz w:val="22"/>
                <w:szCs w:val="22"/>
                <w:lang w:val="pl-PL" w:eastAsia="pl-PL" w:bidi="ar-SA"/>
              </w:rPr>
              <w:t>45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" w:cs=""/>
                <w:i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" w:cs=""/>
                <w:b/>
                <w:kern w:val="0"/>
                <w:sz w:val="22"/>
                <w:szCs w:val="22"/>
                <w:lang w:val="pl-PL" w:eastAsia="pl-PL" w:bidi="ar-SA"/>
              </w:rPr>
              <w:t>90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Strategia Bezpieczeństwa Narodowego Rzeczypospolitej Polskiej, Warszawa 2020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 xml:space="preserve">W. Lamentowicz, 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Strategia państwa: teoria państwa aktywnego wobec sił spontanicznych, Warszawa 2015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Cs/>
              </w:rPr>
            </w:pPr>
            <w:r>
              <w:rPr>
                <w:rFonts w:eastAsia="" w:cs=""/>
                <w:iCs/>
                <w:kern w:val="0"/>
                <w:sz w:val="22"/>
                <w:szCs w:val="22"/>
                <w:lang w:val="pl-PL" w:eastAsia="pl-PL" w:bidi="ar-SA"/>
              </w:rPr>
              <w:t xml:space="preserve">K. Machowicz, </w:t>
            </w:r>
            <w:r>
              <w:rPr>
                <w:rFonts w:eastAsia="" w:cs=""/>
                <w:i/>
                <w:iCs/>
                <w:kern w:val="0"/>
                <w:sz w:val="22"/>
                <w:szCs w:val="22"/>
                <w:lang w:val="pl-PL" w:eastAsia="pl-PL" w:bidi="ar-SA"/>
              </w:rPr>
              <w:t>Relacje podmiotów gospodarczych z Polski i Rosji w kontekście stosunków międzynarodowych</w:t>
            </w:r>
            <w:r>
              <w:rPr>
                <w:rFonts w:eastAsia="" w:cs=""/>
                <w:kern w:val="0"/>
                <w:sz w:val="22"/>
                <w:szCs w:val="22"/>
                <w:lang w:val="pl-PL" w:eastAsia="pl-PL" w:bidi="ar-SA"/>
              </w:rPr>
              <w:t xml:space="preserve">, </w:t>
            </w:r>
            <w:r>
              <w:rPr>
                <w:rFonts w:eastAsia="" w:cs=""/>
                <w:iCs/>
                <w:kern w:val="0"/>
                <w:sz w:val="22"/>
                <w:szCs w:val="22"/>
                <w:lang w:val="pl-PL" w:eastAsia="pl-PL" w:bidi="ar-SA"/>
              </w:rPr>
              <w:t>„Studia Wschodnioeuropejskie”, 15/2021, s. 237-248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lang w:val="en-GB"/>
              </w:rPr>
            </w:pPr>
            <w:r>
              <w:rPr>
                <w:rFonts w:eastAsia=""/>
                <w:iCs/>
                <w:kern w:val="0"/>
                <w:sz w:val="24"/>
                <w:szCs w:val="24"/>
                <w:lang w:val="en-GB" w:eastAsia="pl-PL" w:bidi="ar-SA"/>
              </w:rPr>
              <w:t>K</w:t>
            </w:r>
            <w:r>
              <w:rPr>
                <w:rFonts w:eastAsia=""/>
                <w:iCs/>
                <w:kern w:val="0"/>
                <w:sz w:val="22"/>
                <w:szCs w:val="22"/>
                <w:lang w:val="en-GB" w:eastAsia="pl-PL" w:bidi="ar-SA"/>
              </w:rPr>
              <w:t xml:space="preserve">. Machowicz, </w:t>
            </w:r>
            <w:r>
              <w:rPr>
                <w:rFonts w:eastAsia=""/>
                <w:i/>
                <w:iCs/>
                <w:kern w:val="0"/>
                <w:sz w:val="22"/>
                <w:szCs w:val="22"/>
                <w:lang w:val="en-GB" w:eastAsia="pl-PL" w:bidi="ar-SA"/>
              </w:rPr>
              <w:t>The Impact of the Quality of Information on the Use of Freedom of Expression</w:t>
            </w:r>
            <w:r>
              <w:rPr>
                <w:rFonts w:eastAsia=""/>
                <w:kern w:val="0"/>
                <w:sz w:val="22"/>
                <w:szCs w:val="22"/>
                <w:lang w:val="en-GB" w:eastAsia="pl-PL" w:bidi="ar-SA"/>
              </w:rPr>
              <w:t>, “Studia Iuridica Lubliniensia” 2022, vol. 31, nr 3, s. 189-201, DOI: 10.17951/sil.2022.31.3.189-201, https://journals.umcs.pl/sil/article/view/13423/pdf</w:t>
            </w:r>
          </w:p>
        </w:tc>
      </w:tr>
    </w:tbl>
    <w:p>
      <w:pPr>
        <w:pStyle w:val="Normal"/>
        <w:spacing w:before="0" w:after="0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Normal"/>
        <w:spacing w:before="0" w:after="200"/>
        <w:rPr>
          <w:lang w:val="en-GB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0d2445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3">
    <w:name w:val="Heading 3"/>
    <w:basedOn w:val="Normal"/>
    <w:link w:val="Nagwek3Znak"/>
    <w:uiPriority w:val="9"/>
    <w:qFormat/>
    <w:rsid w:val="007d47a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Markedcontent" w:customStyle="1">
    <w:name w:val="markedcontent"/>
    <w:basedOn w:val="DefaultParagraphFont"/>
    <w:qFormat/>
    <w:rsid w:val="004e05b3"/>
    <w:rPr/>
  </w:style>
  <w:style w:type="character" w:styleId="Nagwek3Znak" w:customStyle="1">
    <w:name w:val="Nagłówek 3 Znak"/>
    <w:basedOn w:val="DefaultParagraphFont"/>
    <w:link w:val="Nagwek3"/>
    <w:uiPriority w:val="9"/>
    <w:qFormat/>
    <w:rsid w:val="007d47a2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0d2445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"/>
      <w:color w:val="000000"/>
      <w:kern w:val="0"/>
      <w:sz w:val="24"/>
      <w:szCs w:val="24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6AF7-489A-4019-82B4-541D935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LibreOffice/7.2.6.2$Windows_X86_64 LibreOffice_project/b0ec3a565991f7569a5a7f5d24fed7f52653d754</Application>
  <AppVersion>15.0000</AppVersion>
  <Pages>5</Pages>
  <Words>1032</Words>
  <Characters>7328</Characters>
  <CharactersWithSpaces>8180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2023-09-29T16:11:00Z</dcterms:created>
  <dc:creator>Anna Łukasiewicz</dc:creator>
  <dc:description/>
  <dc:language>pl-PL</dc:language>
  <cp:lastModifiedBy/>
  <cp:lastPrinted>2019-01-23T11:10:00Z</cp:lastPrinted>
  <dcterms:modified xsi:type="dcterms:W3CDTF">2023-09-29T16:42:00Z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