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</w:rPr>
      </w:pPr>
      <w:r>
        <w:rPr>
          <w:b/>
        </w:rPr>
        <w:t xml:space="preserve">KARTA PRZEDMIOTU 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rPr>
          <w:b/>
          <w:b/>
        </w:rPr>
      </w:pPr>
      <w:r>
        <w:rPr>
          <w:b/>
        </w:rPr>
        <w:t>Dane podstawowe</w:t>
      </w:r>
    </w:p>
    <w:tbl>
      <w:tblPr>
        <w:tblStyle w:val="Tabela-Siatka"/>
        <w:tblW w:w="921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605"/>
        <w:gridCol w:w="4605"/>
      </w:tblGrid>
      <w:tr>
        <w:trPr/>
        <w:tc>
          <w:tcPr>
            <w:tcW w:w="460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Nazwa przedmiotu</w:t>
            </w:r>
          </w:p>
        </w:tc>
        <w:tc>
          <w:tcPr>
            <w:tcW w:w="460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Pozamilitarne przygotowanie obronne</w:t>
            </w:r>
          </w:p>
        </w:tc>
      </w:tr>
      <w:tr>
        <w:trPr/>
        <w:tc>
          <w:tcPr>
            <w:tcW w:w="460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Nazwa przedmiotu w języku angielskim</w:t>
            </w:r>
          </w:p>
        </w:tc>
        <w:tc>
          <w:tcPr>
            <w:tcW w:w="460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Non-military defense preparation</w:t>
            </w:r>
          </w:p>
        </w:tc>
      </w:tr>
      <w:tr>
        <w:trPr/>
        <w:tc>
          <w:tcPr>
            <w:tcW w:w="460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Kierunek studiów </w:t>
            </w:r>
          </w:p>
        </w:tc>
        <w:tc>
          <w:tcPr>
            <w:tcW w:w="460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Bezpieczeństwo narodowe</w:t>
            </w:r>
          </w:p>
        </w:tc>
      </w:tr>
      <w:tr>
        <w:trPr/>
        <w:tc>
          <w:tcPr>
            <w:tcW w:w="460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Poziom studiów (I, II, jednolite magisterskie)</w:t>
            </w:r>
          </w:p>
        </w:tc>
        <w:tc>
          <w:tcPr>
            <w:tcW w:w="460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II stopnia</w:t>
            </w:r>
          </w:p>
        </w:tc>
      </w:tr>
      <w:tr>
        <w:trPr/>
        <w:tc>
          <w:tcPr>
            <w:tcW w:w="460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Forma studiów (stacjonarne, niestacjonarne)</w:t>
            </w:r>
          </w:p>
        </w:tc>
        <w:tc>
          <w:tcPr>
            <w:tcW w:w="460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stacjonarne</w:t>
            </w:r>
          </w:p>
        </w:tc>
      </w:tr>
      <w:tr>
        <w:trPr/>
        <w:tc>
          <w:tcPr>
            <w:tcW w:w="460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Dyscyplina</w:t>
            </w:r>
          </w:p>
        </w:tc>
        <w:tc>
          <w:tcPr>
            <w:tcW w:w="460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nauki o bezpieczeństwie, nauki prawne</w:t>
            </w:r>
          </w:p>
        </w:tc>
      </w:tr>
      <w:tr>
        <w:trPr/>
        <w:tc>
          <w:tcPr>
            <w:tcW w:w="460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Język wykładowy</w:t>
            </w:r>
          </w:p>
        </w:tc>
        <w:tc>
          <w:tcPr>
            <w:tcW w:w="460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polski</w:t>
            </w:r>
          </w:p>
        </w:tc>
      </w:tr>
    </w:tbl>
    <w:p>
      <w:pPr>
        <w:pStyle w:val="Normal"/>
        <w:spacing w:before="0" w:after="0"/>
        <w:rPr/>
      </w:pPr>
      <w:r>
        <w:rPr/>
      </w:r>
    </w:p>
    <w:tbl>
      <w:tblPr>
        <w:tblStyle w:val="Tabela-Siatka"/>
        <w:tblW w:w="921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605"/>
        <w:gridCol w:w="4605"/>
      </w:tblGrid>
      <w:tr>
        <w:trPr/>
        <w:tc>
          <w:tcPr>
            <w:tcW w:w="460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Koordynator przedmiotu/osoba odpowiedzialna</w:t>
            </w:r>
          </w:p>
        </w:tc>
        <w:tc>
          <w:tcPr>
            <w:tcW w:w="460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dr hab. Filip Ciepły, prof. KUL</w:t>
            </w:r>
          </w:p>
        </w:tc>
      </w:tr>
    </w:tbl>
    <w:p>
      <w:pPr>
        <w:pStyle w:val="Normal"/>
        <w:spacing w:before="0" w:after="0"/>
        <w:rPr/>
      </w:pPr>
      <w:r>
        <w:rPr/>
      </w:r>
    </w:p>
    <w:tbl>
      <w:tblPr>
        <w:tblStyle w:val="Tabela-Siatka"/>
        <w:tblW w:w="921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302"/>
        <w:gridCol w:w="2304"/>
        <w:gridCol w:w="2303"/>
        <w:gridCol w:w="2301"/>
      </w:tblGrid>
      <w:tr>
        <w:trPr/>
        <w:tc>
          <w:tcPr>
            <w:tcW w:w="2302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Forma zajęć </w:t>
            </w:r>
            <w:r>
              <w:rPr>
                <w:rFonts w:eastAsia="Calibri" w:cs=""/>
                <w:i/>
                <w:kern w:val="0"/>
                <w:sz w:val="22"/>
                <w:szCs w:val="22"/>
                <w:lang w:val="pl-PL" w:eastAsia="en-US" w:bidi="ar-SA"/>
              </w:rPr>
              <w:t>(katalog zamknięty ze słownika)</w:t>
            </w:r>
          </w:p>
        </w:tc>
        <w:tc>
          <w:tcPr>
            <w:tcW w:w="2304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Liczba godzin</w:t>
            </w:r>
          </w:p>
        </w:tc>
        <w:tc>
          <w:tcPr>
            <w:tcW w:w="2303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semestr</w:t>
            </w:r>
          </w:p>
        </w:tc>
        <w:tc>
          <w:tcPr>
            <w:tcW w:w="2301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Punkty ECTS</w:t>
            </w:r>
          </w:p>
        </w:tc>
      </w:tr>
      <w:tr>
        <w:trPr/>
        <w:tc>
          <w:tcPr>
            <w:tcW w:w="2302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wykład</w:t>
            </w:r>
          </w:p>
        </w:tc>
        <w:tc>
          <w:tcPr>
            <w:tcW w:w="2304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15</w:t>
            </w:r>
          </w:p>
        </w:tc>
        <w:tc>
          <w:tcPr>
            <w:tcW w:w="2303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I</w:t>
            </w:r>
          </w:p>
        </w:tc>
        <w:tc>
          <w:tcPr>
            <w:tcW w:w="2301" w:type="dxa"/>
            <w:vMerge w:val="restart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3</w:t>
            </w:r>
          </w:p>
        </w:tc>
      </w:tr>
      <w:tr>
        <w:trPr/>
        <w:tc>
          <w:tcPr>
            <w:tcW w:w="2302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konwersatorium</w:t>
            </w:r>
          </w:p>
        </w:tc>
        <w:tc>
          <w:tcPr>
            <w:tcW w:w="2304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3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1" w:type="dxa"/>
            <w:vMerge w:val="continue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302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ćwiczenia</w:t>
            </w:r>
          </w:p>
        </w:tc>
        <w:tc>
          <w:tcPr>
            <w:tcW w:w="2304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3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1" w:type="dxa"/>
            <w:vMerge w:val="continue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302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laboratorium</w:t>
            </w:r>
          </w:p>
        </w:tc>
        <w:tc>
          <w:tcPr>
            <w:tcW w:w="2304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3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1" w:type="dxa"/>
            <w:vMerge w:val="continue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302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warsztaty</w:t>
            </w:r>
          </w:p>
        </w:tc>
        <w:tc>
          <w:tcPr>
            <w:tcW w:w="2304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3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1" w:type="dxa"/>
            <w:vMerge w:val="continue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302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seminarium</w:t>
            </w:r>
          </w:p>
        </w:tc>
        <w:tc>
          <w:tcPr>
            <w:tcW w:w="2304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3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1" w:type="dxa"/>
            <w:vMerge w:val="continue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302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proseminarium</w:t>
            </w:r>
          </w:p>
        </w:tc>
        <w:tc>
          <w:tcPr>
            <w:tcW w:w="2304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3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1" w:type="dxa"/>
            <w:vMerge w:val="continue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302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lektorat</w:t>
            </w:r>
          </w:p>
        </w:tc>
        <w:tc>
          <w:tcPr>
            <w:tcW w:w="2304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3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1" w:type="dxa"/>
            <w:vMerge w:val="continue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302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praktyki</w:t>
            </w:r>
          </w:p>
        </w:tc>
        <w:tc>
          <w:tcPr>
            <w:tcW w:w="2304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3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1" w:type="dxa"/>
            <w:vMerge w:val="continue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302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zajęcia terenowe</w:t>
            </w:r>
          </w:p>
        </w:tc>
        <w:tc>
          <w:tcPr>
            <w:tcW w:w="2304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3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1" w:type="dxa"/>
            <w:vMerge w:val="continue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302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pracownia dyplomowa</w:t>
            </w:r>
          </w:p>
        </w:tc>
        <w:tc>
          <w:tcPr>
            <w:tcW w:w="2304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3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1" w:type="dxa"/>
            <w:vMerge w:val="continue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302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translatorium</w:t>
            </w:r>
          </w:p>
        </w:tc>
        <w:tc>
          <w:tcPr>
            <w:tcW w:w="2304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3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1" w:type="dxa"/>
            <w:vMerge w:val="continue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302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wizyta studyjna</w:t>
            </w:r>
          </w:p>
        </w:tc>
        <w:tc>
          <w:tcPr>
            <w:tcW w:w="2304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3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1" w:type="dxa"/>
            <w:vMerge w:val="continue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Normal"/>
        <w:spacing w:before="0" w:after="0"/>
        <w:rPr/>
      </w:pPr>
      <w:r>
        <w:rPr/>
      </w:r>
    </w:p>
    <w:tbl>
      <w:tblPr>
        <w:tblStyle w:val="Tabela-Siatka"/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33"/>
        <w:gridCol w:w="6978"/>
      </w:tblGrid>
      <w:tr>
        <w:trPr/>
        <w:tc>
          <w:tcPr>
            <w:tcW w:w="2233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Wymagania wstępne</w:t>
            </w:r>
          </w:p>
        </w:tc>
        <w:tc>
          <w:tcPr>
            <w:tcW w:w="6978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Znajomość podstawowych pojęć z zakresu prawa i administracji</w:t>
            </w:r>
          </w:p>
        </w:tc>
      </w:tr>
    </w:tbl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ListParagraph"/>
        <w:numPr>
          <w:ilvl w:val="0"/>
          <w:numId w:val="1"/>
        </w:numPr>
        <w:rPr>
          <w:b/>
          <w:b/>
        </w:rPr>
      </w:pPr>
      <w:r>
        <w:rPr>
          <w:b/>
        </w:rPr>
        <w:t xml:space="preserve">Cele kształcenia dla przedmiotu </w:t>
      </w:r>
    </w:p>
    <w:tbl>
      <w:tblPr>
        <w:tblStyle w:val="Tabela-Siatka"/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212"/>
      </w:tblGrid>
      <w:tr>
        <w:trPr/>
        <w:tc>
          <w:tcPr>
            <w:tcW w:w="9212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Prezentacja założeń i procedury pozamilitarnego przygotowania obronnego</w:t>
            </w:r>
          </w:p>
        </w:tc>
      </w:tr>
      <w:tr>
        <w:trPr/>
        <w:tc>
          <w:tcPr>
            <w:tcW w:w="9212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Prezentacja podstaw prawnych pozamilitarnego przygotowania obronnego</w:t>
            </w:r>
          </w:p>
        </w:tc>
      </w:tr>
      <w:tr>
        <w:trPr/>
        <w:tc>
          <w:tcPr>
            <w:tcW w:w="9212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Normal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rPr>
          <w:b/>
          <w:b/>
        </w:rPr>
      </w:pPr>
      <w:r>
        <w:rPr>
          <w:b/>
        </w:rPr>
        <w:t>Efekty uczenia się dla przedmiotu wraz z odniesieniem do efektów kierunkowych</w:t>
      </w:r>
    </w:p>
    <w:tbl>
      <w:tblPr>
        <w:tblStyle w:val="Tabela-Siatka"/>
        <w:tblW w:w="921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99"/>
        <w:gridCol w:w="5952"/>
        <w:gridCol w:w="2160"/>
      </w:tblGrid>
      <w:tr>
        <w:trPr/>
        <w:tc>
          <w:tcPr>
            <w:tcW w:w="1099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Symbol</w:t>
            </w:r>
          </w:p>
        </w:tc>
        <w:tc>
          <w:tcPr>
            <w:tcW w:w="5952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Opis efektu przedmiotowego</w:t>
            </w:r>
          </w:p>
        </w:tc>
        <w:tc>
          <w:tcPr>
            <w:tcW w:w="2160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Odniesienie do efektu kierunkowego</w:t>
            </w:r>
          </w:p>
        </w:tc>
      </w:tr>
      <w:tr>
        <w:trPr/>
        <w:tc>
          <w:tcPr>
            <w:tcW w:w="9211" w:type="dxa"/>
            <w:gridSpan w:val="3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WIEDZA</w:t>
            </w:r>
          </w:p>
        </w:tc>
      </w:tr>
      <w:tr>
        <w:trPr/>
        <w:tc>
          <w:tcPr>
            <w:tcW w:w="1099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W_01</w:t>
            </w:r>
          </w:p>
        </w:tc>
        <w:tc>
          <w:tcPr>
            <w:tcW w:w="5952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rozumie interdyscyplinarny charakter wiedzy, kontekst zjawisk i procesów społecznych, przyczyn i skutków oraz uwarunkowania bezpieczeństwa w obszarze pozamilitarnego przygotowania obronnego </w:t>
            </w:r>
          </w:p>
        </w:tc>
        <w:tc>
          <w:tcPr>
            <w:tcW w:w="216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K_W01, K_W02</w:t>
            </w:r>
          </w:p>
        </w:tc>
      </w:tr>
      <w:tr>
        <w:trPr/>
        <w:tc>
          <w:tcPr>
            <w:tcW w:w="1099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W_02</w:t>
            </w:r>
          </w:p>
        </w:tc>
        <w:tc>
          <w:tcPr>
            <w:tcW w:w="5952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rozumie złożoność wiedzy w zakresie prowadzenia badań nad bezpieczeństwem państwa z wykorzystaniem odpowiednich metod, technik i narzędzi badawczych w obszarze pozamilitarnego przygotowania obronnego</w:t>
            </w:r>
          </w:p>
        </w:tc>
        <w:tc>
          <w:tcPr>
            <w:tcW w:w="216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K_W03</w:t>
            </w:r>
          </w:p>
        </w:tc>
      </w:tr>
      <w:tr>
        <w:trPr/>
        <w:tc>
          <w:tcPr>
            <w:tcW w:w="1099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W_03</w:t>
            </w:r>
          </w:p>
        </w:tc>
        <w:tc>
          <w:tcPr>
            <w:tcW w:w="5952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rozumie teorię i praktykę funkcjonowania instytucji bezpieczeństwa, politycznych i społecznych oraz złożoność ich wzajemnych relacji w obszarze pozamilitarnego przygotowania obronnego</w:t>
            </w:r>
          </w:p>
        </w:tc>
        <w:tc>
          <w:tcPr>
            <w:tcW w:w="216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K_W04</w:t>
            </w:r>
          </w:p>
        </w:tc>
      </w:tr>
      <w:tr>
        <w:trPr/>
        <w:tc>
          <w:tcPr>
            <w:tcW w:w="9211" w:type="dxa"/>
            <w:gridSpan w:val="3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UMIEJĘTNOŚCI</w:t>
            </w:r>
          </w:p>
        </w:tc>
      </w:tr>
      <w:tr>
        <w:trPr/>
        <w:tc>
          <w:tcPr>
            <w:tcW w:w="1099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U_01</w:t>
            </w:r>
          </w:p>
        </w:tc>
        <w:tc>
          <w:tcPr>
            <w:tcW w:w="5952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potrafi wykorzystywać posiadaną, pogłębioną wiedzę teoretyczną do analizowania, diagnozowania, wyjaśniania oraz prognozowania kwestii szczegółowych odnoszących się do bezpieczeństwa w obszarze pozamilitarnego przygotowania obronnego, potrafi sprawnie budować strategie działań w tym zakresie</w:t>
            </w:r>
          </w:p>
        </w:tc>
        <w:tc>
          <w:tcPr>
            <w:tcW w:w="216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K_U01, K_U02</w:t>
            </w:r>
          </w:p>
        </w:tc>
      </w:tr>
      <w:tr>
        <w:trPr/>
        <w:tc>
          <w:tcPr>
            <w:tcW w:w="1099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U_02</w:t>
            </w:r>
          </w:p>
        </w:tc>
        <w:tc>
          <w:tcPr>
            <w:tcW w:w="5952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potrafi wykorzystywać pogłębioną wiedzę teoretyczną w rozwiązywaniu problemów związanych z bezpieczeństwem państwa w obszarze pozamilitarnego przygotowania obronnego </w:t>
            </w:r>
          </w:p>
        </w:tc>
        <w:tc>
          <w:tcPr>
            <w:tcW w:w="216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K_U03</w:t>
            </w:r>
          </w:p>
        </w:tc>
      </w:tr>
      <w:tr>
        <w:trPr/>
        <w:tc>
          <w:tcPr>
            <w:tcW w:w="1099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U_03</w:t>
            </w:r>
          </w:p>
        </w:tc>
        <w:tc>
          <w:tcPr>
            <w:tcW w:w="5952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potrafi prawidłowo interpretować przepisy prawne oraz oceniać zagrożenia w zakresie bezpieczeństwa państwa w obszarze pozamilitarnego przygotowania obronnego</w:t>
            </w:r>
          </w:p>
        </w:tc>
        <w:tc>
          <w:tcPr>
            <w:tcW w:w="216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K_U04</w:t>
            </w:r>
          </w:p>
        </w:tc>
      </w:tr>
      <w:tr>
        <w:trPr/>
        <w:tc>
          <w:tcPr>
            <w:tcW w:w="9211" w:type="dxa"/>
            <w:gridSpan w:val="3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KOMPETENCJE SPOŁECZNE</w:t>
            </w:r>
          </w:p>
        </w:tc>
      </w:tr>
      <w:tr>
        <w:trPr/>
        <w:tc>
          <w:tcPr>
            <w:tcW w:w="1099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K_01</w:t>
            </w:r>
          </w:p>
        </w:tc>
        <w:tc>
          <w:tcPr>
            <w:tcW w:w="5952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jest gotów do myślenia i działania w sposób prospołeczny i przedsiębiorczy, w tym zarządzania ryzykiem, w obszarze pozamilitarnego przygotowania obronnego</w:t>
            </w:r>
          </w:p>
        </w:tc>
        <w:tc>
          <w:tcPr>
            <w:tcW w:w="216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K_K02</w:t>
            </w:r>
          </w:p>
        </w:tc>
      </w:tr>
    </w:tbl>
    <w:p>
      <w:pPr>
        <w:pStyle w:val="ListParagraph"/>
        <w:ind w:left="1080" w:hanging="0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rPr>
          <w:b/>
          <w:b/>
        </w:rPr>
      </w:pPr>
      <w:r>
        <w:rPr>
          <w:b/>
        </w:rPr>
        <w:t>Opis przedmiotu/ treści programowe</w:t>
      </w:r>
    </w:p>
    <w:tbl>
      <w:tblPr>
        <w:tblStyle w:val="Tabela-Siatka"/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212"/>
      </w:tblGrid>
      <w:tr>
        <w:trPr/>
        <w:tc>
          <w:tcPr>
            <w:tcW w:w="9212" w:type="dxa"/>
            <w:tcBorders/>
            <w:shd w:color="auto" w:fill="auto" w:val="clear"/>
          </w:tcPr>
          <w:p>
            <w:pPr>
              <w:pStyle w:val="Normal"/>
              <w:widowControl/>
              <w:numPr>
                <w:ilvl w:val="1"/>
                <w:numId w:val="2"/>
              </w:numPr>
              <w:tabs>
                <w:tab w:val="clear" w:pos="708"/>
              </w:tabs>
              <w:spacing w:lineRule="auto" w:line="240" w:before="0" w:after="0"/>
              <w:ind w:left="0" w:hanging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Informacje wstępne</w:t>
            </w:r>
          </w:p>
          <w:p>
            <w:pPr>
              <w:pStyle w:val="Normal"/>
              <w:widowControl/>
              <w:numPr>
                <w:ilvl w:val="1"/>
                <w:numId w:val="2"/>
              </w:numPr>
              <w:tabs>
                <w:tab w:val="clear" w:pos="708"/>
              </w:tabs>
              <w:spacing w:lineRule="auto" w:line="240" w:before="0" w:after="0"/>
              <w:ind w:left="0" w:hanging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Zadania administracji publicznej, planowanie i kierowanie obroną</w:t>
            </w:r>
          </w:p>
          <w:p>
            <w:pPr>
              <w:pStyle w:val="Normal"/>
              <w:widowControl/>
              <w:numPr>
                <w:ilvl w:val="1"/>
                <w:numId w:val="2"/>
              </w:numPr>
              <w:tabs>
                <w:tab w:val="clear" w:pos="708"/>
              </w:tabs>
              <w:spacing w:lineRule="auto" w:line="240" w:before="0" w:after="0"/>
              <w:ind w:left="0" w:hanging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Gotowość obronna państwa, mobilizacja gospodarki, rezerwy strategiczne</w:t>
            </w:r>
          </w:p>
          <w:p>
            <w:pPr>
              <w:pStyle w:val="Normal"/>
              <w:widowControl/>
              <w:numPr>
                <w:ilvl w:val="1"/>
                <w:numId w:val="2"/>
              </w:numPr>
              <w:tabs>
                <w:tab w:val="clear" w:pos="708"/>
              </w:tabs>
              <w:spacing w:lineRule="auto" w:line="240" w:before="0" w:after="0"/>
              <w:ind w:left="0" w:hanging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Podmioty lecznicze, systemy łączności</w:t>
            </w:r>
          </w:p>
          <w:p>
            <w:pPr>
              <w:pStyle w:val="Normal"/>
              <w:widowControl/>
              <w:numPr>
                <w:ilvl w:val="1"/>
                <w:numId w:val="2"/>
              </w:numPr>
              <w:tabs>
                <w:tab w:val="clear" w:pos="708"/>
              </w:tabs>
              <w:spacing w:lineRule="auto" w:line="240" w:before="0" w:after="0"/>
              <w:ind w:left="0" w:hanging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Transport i infrastruktura, ochrona infrastruktury krytycznej</w:t>
            </w:r>
          </w:p>
          <w:p>
            <w:pPr>
              <w:pStyle w:val="Normal"/>
              <w:widowControl/>
              <w:numPr>
                <w:ilvl w:val="1"/>
                <w:numId w:val="2"/>
              </w:numPr>
              <w:tabs>
                <w:tab w:val="clear" w:pos="708"/>
              </w:tabs>
              <w:spacing w:lineRule="auto" w:line="240" w:before="0" w:after="0"/>
              <w:ind w:left="0" w:hanging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Obowiązki obronne przedsiębiorców. Świadczenia rzeczowe i osobiste</w:t>
            </w:r>
          </w:p>
          <w:p>
            <w:pPr>
              <w:pStyle w:val="Normal"/>
              <w:widowControl/>
              <w:numPr>
                <w:ilvl w:val="1"/>
                <w:numId w:val="2"/>
              </w:numPr>
              <w:tabs>
                <w:tab w:val="clear" w:pos="708"/>
              </w:tabs>
              <w:spacing w:lineRule="auto" w:line="240" w:before="0" w:after="0"/>
              <w:ind w:left="0" w:hanging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Szkolenie obronne, przygotowania do militaryzacji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Normal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rPr>
          <w:b/>
          <w:b/>
        </w:rPr>
      </w:pPr>
      <w:r>
        <w:rPr>
          <w:b/>
        </w:rPr>
        <w:t>Metody realizacji i weryfikacji efektów uczenia się</w:t>
      </w:r>
    </w:p>
    <w:tbl>
      <w:tblPr>
        <w:tblStyle w:val="Tabela-Siatka"/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100"/>
        <w:gridCol w:w="2694"/>
        <w:gridCol w:w="2834"/>
        <w:gridCol w:w="2583"/>
      </w:tblGrid>
      <w:tr>
        <w:trPr/>
        <w:tc>
          <w:tcPr>
            <w:tcW w:w="1100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Symbol efektu</w:t>
            </w:r>
          </w:p>
        </w:tc>
        <w:tc>
          <w:tcPr>
            <w:tcW w:w="2694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Metody dydaktyczne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lang w:val="pl-PL" w:eastAsia="en-US" w:bidi="ar-SA"/>
              </w:rPr>
            </w:pPr>
            <w:r>
              <w:rPr>
                <w:rFonts w:eastAsia="Calibri" w:cs=""/>
                <w:i/>
                <w:kern w:val="0"/>
                <w:sz w:val="18"/>
                <w:szCs w:val="18"/>
                <w:lang w:val="pl-PL" w:eastAsia="en-US" w:bidi="ar-SA"/>
              </w:rPr>
              <w:t>(lista wyboru)</w:t>
            </w:r>
          </w:p>
        </w:tc>
        <w:tc>
          <w:tcPr>
            <w:tcW w:w="2834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Metody weryfikacji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lang w:val="pl-PL" w:eastAsia="en-US" w:bidi="ar-SA"/>
              </w:rPr>
            </w:pPr>
            <w:r>
              <w:rPr>
                <w:rFonts w:eastAsia="Calibri" w:cs=""/>
                <w:i/>
                <w:kern w:val="0"/>
                <w:sz w:val="18"/>
                <w:szCs w:val="18"/>
                <w:lang w:val="pl-PL" w:eastAsia="en-US" w:bidi="ar-SA"/>
              </w:rPr>
              <w:t>(lista wyboru)</w:t>
            </w:r>
          </w:p>
        </w:tc>
        <w:tc>
          <w:tcPr>
            <w:tcW w:w="2583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Sposoby dokumentacji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lang w:val="pl-PL" w:eastAsia="en-US" w:bidi="ar-SA"/>
              </w:rPr>
            </w:pPr>
            <w:r>
              <w:rPr>
                <w:rFonts w:eastAsia="Calibri" w:cs=""/>
                <w:i/>
                <w:kern w:val="0"/>
                <w:sz w:val="18"/>
                <w:szCs w:val="18"/>
                <w:lang w:val="pl-PL" w:eastAsia="en-US" w:bidi="ar-SA"/>
              </w:rPr>
              <w:t>(lista wyboru)</w:t>
            </w:r>
          </w:p>
        </w:tc>
      </w:tr>
      <w:tr>
        <w:trPr/>
        <w:tc>
          <w:tcPr>
            <w:tcW w:w="9211" w:type="dxa"/>
            <w:gridSpan w:val="4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WIEDZA</w:t>
            </w:r>
          </w:p>
        </w:tc>
      </w:tr>
      <w:tr>
        <w:trPr/>
        <w:tc>
          <w:tcPr>
            <w:tcW w:w="110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W_01</w:t>
            </w:r>
          </w:p>
        </w:tc>
        <w:tc>
          <w:tcPr>
            <w:tcW w:w="2694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studium przypadku, warsztat, dyskusja</w:t>
            </w:r>
          </w:p>
        </w:tc>
        <w:tc>
          <w:tcPr>
            <w:tcW w:w="2834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aktywność na zajęciach, wypowiedź ustna, test</w:t>
            </w:r>
          </w:p>
        </w:tc>
        <w:tc>
          <w:tcPr>
            <w:tcW w:w="2583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notatki, test</w:t>
            </w:r>
          </w:p>
        </w:tc>
      </w:tr>
      <w:tr>
        <w:trPr/>
        <w:tc>
          <w:tcPr>
            <w:tcW w:w="110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W_02</w:t>
            </w:r>
          </w:p>
        </w:tc>
        <w:tc>
          <w:tcPr>
            <w:tcW w:w="2694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studium przypadku, warsztat, dyskusja</w:t>
            </w:r>
          </w:p>
        </w:tc>
        <w:tc>
          <w:tcPr>
            <w:tcW w:w="2834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aktywność na zajęciach, wypowiedź ustna, test</w:t>
            </w:r>
          </w:p>
        </w:tc>
        <w:tc>
          <w:tcPr>
            <w:tcW w:w="2583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notatki, test</w:t>
            </w:r>
          </w:p>
        </w:tc>
      </w:tr>
      <w:tr>
        <w:trPr/>
        <w:tc>
          <w:tcPr>
            <w:tcW w:w="110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W_03</w:t>
            </w:r>
          </w:p>
        </w:tc>
        <w:tc>
          <w:tcPr>
            <w:tcW w:w="2694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studium przypadku, warsztat, dyskusja</w:t>
            </w:r>
          </w:p>
        </w:tc>
        <w:tc>
          <w:tcPr>
            <w:tcW w:w="2834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aktywność na zajęciach, wypowiedź ustna, test</w:t>
            </w:r>
          </w:p>
        </w:tc>
        <w:tc>
          <w:tcPr>
            <w:tcW w:w="2583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notatki, test</w:t>
            </w:r>
          </w:p>
        </w:tc>
      </w:tr>
      <w:tr>
        <w:trPr/>
        <w:tc>
          <w:tcPr>
            <w:tcW w:w="9211" w:type="dxa"/>
            <w:gridSpan w:val="4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UMIEJĘTNOŚCI</w:t>
            </w:r>
          </w:p>
        </w:tc>
      </w:tr>
      <w:tr>
        <w:trPr/>
        <w:tc>
          <w:tcPr>
            <w:tcW w:w="110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U_01</w:t>
            </w:r>
          </w:p>
        </w:tc>
        <w:tc>
          <w:tcPr>
            <w:tcW w:w="2694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studium przypadku, warsztat, dyskusja</w:t>
            </w:r>
          </w:p>
        </w:tc>
        <w:tc>
          <w:tcPr>
            <w:tcW w:w="2834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aktywność na zajęciach, wypowiedź ustna, test</w:t>
            </w:r>
          </w:p>
        </w:tc>
        <w:tc>
          <w:tcPr>
            <w:tcW w:w="2583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notatki, test</w:t>
            </w:r>
          </w:p>
        </w:tc>
      </w:tr>
      <w:tr>
        <w:trPr/>
        <w:tc>
          <w:tcPr>
            <w:tcW w:w="110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U_02</w:t>
            </w:r>
          </w:p>
        </w:tc>
        <w:tc>
          <w:tcPr>
            <w:tcW w:w="2694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studium przypadku, warsztat, dyskusja</w:t>
            </w:r>
          </w:p>
        </w:tc>
        <w:tc>
          <w:tcPr>
            <w:tcW w:w="2834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aktywność na zajęciach, wypowiedź ustna, test</w:t>
            </w:r>
          </w:p>
        </w:tc>
        <w:tc>
          <w:tcPr>
            <w:tcW w:w="2583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notatki, test</w:t>
            </w:r>
          </w:p>
        </w:tc>
      </w:tr>
      <w:tr>
        <w:trPr/>
        <w:tc>
          <w:tcPr>
            <w:tcW w:w="110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U_03</w:t>
            </w:r>
          </w:p>
        </w:tc>
        <w:tc>
          <w:tcPr>
            <w:tcW w:w="2694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studium przypadku, warsztat, dyskusja</w:t>
            </w:r>
          </w:p>
        </w:tc>
        <w:tc>
          <w:tcPr>
            <w:tcW w:w="2834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aktywność na zajęciach, wypowiedź ustna, test</w:t>
            </w:r>
          </w:p>
        </w:tc>
        <w:tc>
          <w:tcPr>
            <w:tcW w:w="2583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notatki, test</w:t>
            </w:r>
          </w:p>
        </w:tc>
      </w:tr>
      <w:tr>
        <w:trPr/>
        <w:tc>
          <w:tcPr>
            <w:tcW w:w="9211" w:type="dxa"/>
            <w:gridSpan w:val="4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KOMPETENCJE SPOŁECZNE</w:t>
            </w:r>
          </w:p>
        </w:tc>
      </w:tr>
      <w:tr>
        <w:trPr/>
        <w:tc>
          <w:tcPr>
            <w:tcW w:w="110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K_01</w:t>
            </w:r>
          </w:p>
        </w:tc>
        <w:tc>
          <w:tcPr>
            <w:tcW w:w="2694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studium przypadku, warsztat, dyskusja</w:t>
            </w:r>
          </w:p>
        </w:tc>
        <w:tc>
          <w:tcPr>
            <w:tcW w:w="2834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aktywność na zajęciach, wypowiedź ustna, test</w:t>
            </w:r>
          </w:p>
        </w:tc>
        <w:tc>
          <w:tcPr>
            <w:tcW w:w="2583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notatki, test</w:t>
            </w:r>
          </w:p>
        </w:tc>
      </w:tr>
    </w:tbl>
    <w:p>
      <w:pPr>
        <w:pStyle w:val="Normal"/>
        <w:spacing w:before="0" w:after="0"/>
        <w:rPr/>
      </w:pPr>
      <w:r>
        <w:rPr/>
      </w:r>
    </w:p>
    <w:p>
      <w:pPr>
        <w:pStyle w:val="ListParagraph"/>
        <w:ind w:left="1080" w:hanging="0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rPr>
          <w:b/>
          <w:b/>
        </w:rPr>
      </w:pPr>
      <w:r>
        <w:rPr>
          <w:b/>
        </w:rPr>
        <w:t>Kryteria oceny, wagi…</w:t>
      </w:r>
    </w:p>
    <w:p>
      <w:pPr>
        <w:pStyle w:val="ListParagraph"/>
        <w:ind w:left="1080" w:hanging="0"/>
        <w:rPr>
          <w:b/>
          <w:b/>
        </w:rPr>
      </w:pPr>
      <w:r>
        <w:rPr/>
        <w:t>Na ocenę końcową składa się ocena obecności i aktywności oraz ocena z pisemnego egzaminu końcowego w formie testu: liczba uzyskanych punktów (ocena) 11-12 (3.0), 13-14 (3,5), 15-16 (4.0), 17-18 (4,5), 19-20 (5.0)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rPr>
          <w:b/>
          <w:b/>
        </w:rPr>
      </w:pPr>
      <w:r>
        <w:rPr>
          <w:b/>
        </w:rPr>
        <w:t>Obciążenie pracą studenta</w:t>
      </w:r>
    </w:p>
    <w:tbl>
      <w:tblPr>
        <w:tblStyle w:val="Tabela-Siatka"/>
        <w:tblW w:w="921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605"/>
        <w:gridCol w:w="4605"/>
      </w:tblGrid>
      <w:tr>
        <w:trPr/>
        <w:tc>
          <w:tcPr>
            <w:tcW w:w="460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Forma aktywności studenta</w:t>
            </w:r>
          </w:p>
        </w:tc>
        <w:tc>
          <w:tcPr>
            <w:tcW w:w="460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Liczba godzin</w:t>
            </w:r>
          </w:p>
        </w:tc>
      </w:tr>
      <w:tr>
        <w:trPr/>
        <w:tc>
          <w:tcPr>
            <w:tcW w:w="460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Liczba godzin kontaktowych z nauczycielem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i/>
                <w:i/>
                <w:sz w:val="18"/>
                <w:szCs w:val="18"/>
              </w:rPr>
            </w:pPr>
            <w:r>
              <w:rPr>
                <w:rFonts w:eastAsia="Calibri" w:cs=""/>
                <w:i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460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Cs/>
              </w:rPr>
            </w:pPr>
            <w:r>
              <w:rPr>
                <w:rFonts w:eastAsia="Calibri" w:cs=""/>
                <w:bCs/>
                <w:kern w:val="0"/>
                <w:sz w:val="22"/>
                <w:szCs w:val="22"/>
                <w:lang w:val="pl-PL" w:eastAsia="en-US" w:bidi="ar-SA"/>
              </w:rPr>
              <w:t>15</w:t>
            </w:r>
          </w:p>
        </w:tc>
      </w:tr>
      <w:tr>
        <w:trPr/>
        <w:tc>
          <w:tcPr>
            <w:tcW w:w="460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Liczba godzin indywidualnej pracy studenta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i/>
                <w:i/>
                <w:sz w:val="18"/>
                <w:szCs w:val="18"/>
              </w:rPr>
            </w:pPr>
            <w:r>
              <w:rPr>
                <w:rFonts w:eastAsia="Calibri" w:cs=""/>
                <w:i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460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Cs/>
              </w:rPr>
            </w:pPr>
            <w:r>
              <w:rPr>
                <w:rFonts w:eastAsia="Calibri" w:cs=""/>
                <w:bCs/>
                <w:kern w:val="0"/>
                <w:sz w:val="22"/>
                <w:szCs w:val="22"/>
                <w:lang w:val="pl-PL" w:eastAsia="en-US" w:bidi="ar-SA"/>
              </w:rPr>
              <w:t>15</w:t>
            </w:r>
          </w:p>
        </w:tc>
      </w:tr>
    </w:tbl>
    <w:p>
      <w:pPr>
        <w:pStyle w:val="Normal"/>
        <w:spacing w:before="0" w:after="0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rPr>
          <w:b/>
          <w:b/>
        </w:rPr>
      </w:pPr>
      <w:r>
        <w:rPr>
          <w:b/>
        </w:rPr>
        <w:t>Literatura</w:t>
      </w:r>
    </w:p>
    <w:tbl>
      <w:tblPr>
        <w:tblStyle w:val="Tabela-Siatka"/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212"/>
      </w:tblGrid>
      <w:tr>
        <w:trPr/>
        <w:tc>
          <w:tcPr>
            <w:tcW w:w="9212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Literatura podstawowa</w:t>
            </w:r>
          </w:p>
        </w:tc>
      </w:tr>
      <w:tr>
        <w:trPr/>
        <w:tc>
          <w:tcPr>
            <w:tcW w:w="9212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Ustawa z dnia 11 marca 2022 r. o obronie Ojczyzny, Dz.U. z 2022 r. poz. 655 ze zm.</w:t>
            </w:r>
          </w:p>
        </w:tc>
      </w:tr>
      <w:tr>
        <w:trPr/>
        <w:tc>
          <w:tcPr>
            <w:tcW w:w="9212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Literatura uzupełniająca</w:t>
            </w:r>
          </w:p>
        </w:tc>
      </w:tr>
      <w:tr>
        <w:trPr/>
        <w:tc>
          <w:tcPr>
            <w:tcW w:w="9212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M. Kuliczkowski, L. Sawicki, Pozamilitarne przygotowania obronne w Polsce. Podręcznik, Akademia Sztuki Wojennej, Warszawa 2020.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Strategia bezpieczeństwa narodowego Rzeczypospolitej Polskiej 2020, Warszawa 2020</w:t>
            </w:r>
          </w:p>
        </w:tc>
      </w:tr>
    </w:tbl>
    <w:p>
      <w:pPr>
        <w:pStyle w:val="Normal"/>
        <w:spacing w:before="0" w:after="0"/>
        <w:rPr>
          <w:b/>
          <w:b/>
        </w:rPr>
      </w:pPr>
      <w:r>
        <w:rPr>
          <w:b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headerReference w:type="default" r:id="rId2"/>
      <w:type w:val="nextPage"/>
      <w:pgSz w:w="11906" w:h="16838"/>
      <w:pgMar w:left="1417" w:right="1417" w:gutter="0" w:header="708" w:top="1417" w:footer="0" w:bottom="1417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jc w:val="right"/>
      <w:rPr>
        <w:i/>
        <w:i/>
      </w:rPr>
    </w:pPr>
    <w:r>
      <w:rPr>
        <w:i/>
      </w:rPr>
      <w:t>Załącznik nr 5 do dokumentacji programowej</w:t>
    </w:r>
  </w:p>
  <w:p>
    <w:pPr>
      <w:pStyle w:val="Gwk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Tabulatory" w:customStyle="1">
    <w:name w:val="tabulatory"/>
    <w:basedOn w:val="DefaultParagraphFont"/>
    <w:qFormat/>
    <w:rsid w:val="00d406f6"/>
    <w:rPr/>
  </w:style>
  <w:style w:type="character" w:styleId="Czeinternetowe" w:customStyle="1">
    <w:name w:val="Łącze internetowe"/>
    <w:basedOn w:val="DefaultParagraphFont"/>
    <w:uiPriority w:val="99"/>
    <w:unhideWhenUsed/>
    <w:rsid w:val="00d406f6"/>
    <w:rPr>
      <w:color w:val="0000FF"/>
      <w:u w:val="single"/>
    </w:rPr>
  </w:style>
  <w:style w:type="character" w:styleId="Access" w:customStyle="1">
    <w:name w:val="access"/>
    <w:basedOn w:val="DefaultParagraphFont"/>
    <w:qFormat/>
    <w:rsid w:val="003c65da"/>
    <w:rPr/>
  </w:style>
  <w:style w:type="character" w:styleId="Luchili" w:customStyle="1">
    <w:name w:val="luc_hili"/>
    <w:basedOn w:val="DefaultParagraphFont"/>
    <w:qFormat/>
    <w:rsid w:val="001a5d37"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b04272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b04272"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b04272"/>
    <w:rPr>
      <w:rFonts w:ascii="Tahoma" w:hAnsi="Tahoma" w:cs="Tahoma"/>
      <w:sz w:val="16"/>
      <w:szCs w:val="16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next w:val="Tretekstu"/>
    <w:link w:val="NagwekZnak"/>
    <w:uiPriority w:val="99"/>
    <w:unhideWhenUsed/>
    <w:rsid w:val="00b04272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Western" w:customStyle="1">
    <w:name w:val="western"/>
    <w:basedOn w:val="Normal"/>
    <w:qFormat/>
    <w:rsid w:val="007d0038"/>
    <w:pPr>
      <w:spacing w:lineRule="atLeast" w:line="102" w:beforeAutospacing="1" w:after="119"/>
    </w:pPr>
    <w:rPr>
      <w:rFonts w:ascii="Times New Roman" w:hAnsi="Times New Roman" w:eastAsia="Times New Roman" w:cs="Times New Roman"/>
      <w:color w:val="000000"/>
      <w:sz w:val="24"/>
      <w:szCs w:val="24"/>
      <w:lang w:eastAsia="pl-PL"/>
    </w:rPr>
  </w:style>
  <w:style w:type="paragraph" w:styleId="ListParagraph">
    <w:name w:val="List Paragraph"/>
    <w:basedOn w:val="Normal"/>
    <w:uiPriority w:val="34"/>
    <w:qFormat/>
    <w:rsid w:val="007d0038"/>
    <w:pPr>
      <w:spacing w:before="0" w:after="200"/>
      <w:ind w:left="720" w:hanging="0"/>
      <w:contextualSpacing/>
    </w:pPr>
    <w:rPr/>
  </w:style>
  <w:style w:type="paragraph" w:styleId="NormalWeb">
    <w:name w:val="Normal (Web)"/>
    <w:basedOn w:val="Normal"/>
    <w:uiPriority w:val="99"/>
    <w:semiHidden/>
    <w:unhideWhenUsed/>
    <w:qFormat/>
    <w:rsid w:val="00d27ddc"/>
    <w:pPr>
      <w:spacing w:lineRule="auto" w:line="240" w:beforeAutospacing="1" w:after="119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Default" w:customStyle="1">
    <w:name w:val="Default"/>
    <w:qFormat/>
    <w:rsid w:val="007841b3"/>
    <w:pPr>
      <w:widowControl/>
      <w:bidi w:val="0"/>
      <w:spacing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pl-PL" w:eastAsia="en-US" w:bidi="ar-SA"/>
    </w:rPr>
  </w:style>
  <w:style w:type="paragraph" w:styleId="Stopka">
    <w:name w:val="Footer"/>
    <w:basedOn w:val="Normal"/>
    <w:link w:val="StopkaZnak"/>
    <w:uiPriority w:val="99"/>
    <w:unhideWhenUsed/>
    <w:rsid w:val="00b04272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b0427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732e4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68D0BD-05CE-401E-B6F4-108717C20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Application>LibreOffice/7.2.6.2$Windows_X86_64 LibreOffice_project/b0ec3a565991f7569a5a7f5d24fed7f52653d754</Application>
  <AppVersion>15.0000</AppVersion>
  <DocSecurity>0</DocSecurity>
  <Pages>4</Pages>
  <Words>576</Words>
  <Characters>4191</Characters>
  <CharactersWithSpaces>4625</CharactersWithSpaces>
  <Paragraphs>134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2021-09-29T07:38:00Z</dcterms:created>
  <dc:creator>Anna Łukasiewicz</dc:creator>
  <dc:description/>
  <dc:language>pl-PL</dc:language>
  <cp:lastModifiedBy>Filip Ciepły</cp:lastModifiedBy>
  <cp:lastPrinted>2019-01-23T11:10:00Z</cp:lastPrinted>
  <dcterms:modified xsi:type="dcterms:W3CDTF">2023-11-17T13:49:00Z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