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0" w:after="740"/>
        <w:rPr/>
      </w:pPr>
      <w:r>
        <w:rPr>
          <w:b/>
          <w:bCs/>
        </w:rPr>
        <w:t>KARTA PRZEDMIOTU</w:t>
      </w:r>
    </w:p>
    <w:p>
      <w:pPr>
        <w:pStyle w:val="Tablecaption1"/>
        <w:ind w:left="346" w:hanging="0"/>
        <w:rPr/>
      </w:pPr>
      <w:r>
        <w:rPr/>
        <w:t xml:space="preserve">• </w:t>
      </w:r>
      <w:r>
        <w:rPr/>
        <w:t>Dane podstawowe</w:t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607"/>
        <w:gridCol w:w="4613"/>
      </w:tblGrid>
      <w:tr>
        <w:trPr>
          <w:trHeight w:val="653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>
                <w:color w:val="auto"/>
              </w:rPr>
            </w:pPr>
            <w:r>
              <w:rPr>
                <w:color w:val="auto"/>
              </w:rPr>
              <w:t>Nazwa przedmiotu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>
                <w:color w:val="auto"/>
              </w:rPr>
            </w:pPr>
            <w:r>
              <w:rPr>
                <w:color w:val="auto"/>
              </w:rPr>
              <w:t>Międzynarodowe stosunki polityczne</w:t>
            </w:r>
          </w:p>
        </w:tc>
      </w:tr>
      <w:tr>
        <w:trPr>
          <w:trHeight w:val="27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Nazwa przedmiotu w języku angielskim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 xml:space="preserve">International </w:t>
            </w:r>
            <w:r>
              <w:rPr>
                <w:lang w:val="en-US" w:eastAsia="en-US" w:bidi="en-US"/>
              </w:rPr>
              <w:t>Political Relations</w:t>
            </w:r>
          </w:p>
        </w:tc>
      </w:tr>
      <w:tr>
        <w:trPr>
          <w:trHeight w:val="27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Kierunek studiów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Stosunki międzynarodowe</w:t>
            </w:r>
          </w:p>
        </w:tc>
      </w:tr>
      <w:tr>
        <w:trPr>
          <w:trHeight w:val="27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 xml:space="preserve">Poziom studiów </w:t>
            </w:r>
            <w:r>
              <w:rPr>
                <w:lang w:val="en-US" w:eastAsia="en-US" w:bidi="en-US"/>
              </w:rPr>
              <w:t xml:space="preserve">(I, </w:t>
            </w:r>
            <w:r>
              <w:rPr/>
              <w:t>II, jednolite magisterskie)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I, rok II</w:t>
            </w:r>
          </w:p>
        </w:tc>
      </w:tr>
      <w:tr>
        <w:trPr>
          <w:trHeight w:val="27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Forma studiów (stacjonarne, niestacjonarne)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Stacjonarne</w:t>
            </w:r>
          </w:p>
        </w:tc>
      </w:tr>
      <w:tr>
        <w:trPr>
          <w:trHeight w:val="27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Dyscyplina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Nauka o polityce i administracji</w:t>
            </w:r>
          </w:p>
        </w:tc>
      </w:tr>
      <w:tr>
        <w:trPr>
          <w:trHeight w:val="288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Język wykładowy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Polski</w:t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607"/>
        <w:gridCol w:w="4613"/>
      </w:tblGrid>
      <w:tr>
        <w:trPr>
          <w:trHeight w:val="562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Koordynator przedmiotu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Dr hab. Jacek Sawicki</w:t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308"/>
        <w:gridCol w:w="2299"/>
        <w:gridCol w:w="2305"/>
        <w:gridCol w:w="2308"/>
      </w:tblGrid>
      <w:tr>
        <w:trPr>
          <w:trHeight w:val="552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  <w:iCs/>
              </w:rPr>
              <w:t>(katalog zamknięty ze słownika)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Liczba godzin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semestr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Punkty ECTS</w:t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wykład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30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3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3</w:t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konwersatorium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ćwiczenia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laboratorium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warsztaty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seminarium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proseminarium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lektorat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praktyki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zajęcia terenowe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pracownia dyplomowa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translatorium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wizyta studyjna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237"/>
        <w:gridCol w:w="6983"/>
      </w:tblGrid>
      <w:tr>
        <w:trPr>
          <w:trHeight w:val="1378" w:hRule="exact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Wymagania wstępne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W1 – podstawowa znajomość zagadnień w przedmiotowym obszarze</w:t>
            </w:r>
          </w:p>
          <w:p>
            <w:pPr>
              <w:pStyle w:val="Other1"/>
              <w:widowControl w:val="false"/>
              <w:rPr/>
            </w:pPr>
            <w:r>
              <w:rPr/>
              <w:t>Inne wybrane wymagania wstępne:</w:t>
            </w:r>
          </w:p>
          <w:p>
            <w:pPr>
              <w:pStyle w:val="Other1"/>
              <w:widowControl w:val="false"/>
              <w:rPr/>
            </w:pPr>
            <w:r>
              <w:rPr/>
              <w:t>W2 - umiejętność analizowania tekstów naukowych;</w:t>
            </w:r>
          </w:p>
          <w:p>
            <w:pPr>
              <w:pStyle w:val="Other1"/>
              <w:widowControl w:val="false"/>
              <w:rPr/>
            </w:pPr>
            <w:r>
              <w:rPr/>
              <w:t>W3 - umiejętność rzeczowej dyskusji</w:t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p>
      <w:pPr>
        <w:pStyle w:val="Heading11"/>
        <w:keepNext w:val="true"/>
        <w:keepLines/>
        <w:spacing w:before="0" w:after="240"/>
        <w:ind w:firstLine="360"/>
        <w:rPr/>
      </w:pPr>
      <w:bookmarkStart w:id="0" w:name="bookmark0"/>
      <w:r>
        <w:rPr/>
        <w:t xml:space="preserve">• </w:t>
      </w:r>
      <w:r>
        <w:rPr/>
        <w:t>Cele kształcenia dla przedmiotu</w:t>
      </w:r>
      <w:bookmarkEnd w:id="0"/>
    </w:p>
    <w:p>
      <w:pPr>
        <w:pStyle w:val="Tretekstu"/>
        <w:spacing w:before="0" w:after="0"/>
        <w:ind w:firstLine="460"/>
        <w:rPr/>
      </w:pPr>
      <w:r>
        <w:rPr/>
        <w:t>Cl-Zapoznanie studentów z głównymi zagadnieniami dotyczącymi przedmiotu zajęć</w:t>
      </w:r>
    </w:p>
    <w:p>
      <w:pPr>
        <w:pStyle w:val="Tretekstu"/>
        <w:spacing w:before="0" w:after="0"/>
        <w:ind w:firstLine="460"/>
        <w:rPr/>
      </w:pPr>
      <w:r>
        <w:rPr/>
        <w:t>C-2 Przekazanie wiedzy nt. podstawowych pojęć w przedmiotowym obszarze</w:t>
      </w:r>
    </w:p>
    <w:p>
      <w:pPr>
        <w:pStyle w:val="Tretekstu"/>
        <w:spacing w:before="0" w:after="300"/>
        <w:ind w:left="460" w:hanging="0"/>
        <w:rPr/>
      </w:pPr>
      <w:r>
        <w:rPr/>
        <w:t>C-3 Ukierunkowanie na potrzebę samodzielnego, krytycznego analizowania przedmiotowych zjawisk</w:t>
      </w:r>
      <w:r>
        <w:br w:type="page"/>
      </w:r>
    </w:p>
    <w:p>
      <w:pPr>
        <w:pStyle w:val="Tablecaption1"/>
        <w:ind w:left="710" w:hanging="0"/>
        <w:rPr/>
      </w:pPr>
      <w:r>
        <w:rPr/>
        <w:t>Efekty uczenia się dla przedmiotu wraz z odniesieniem do efektów kierunkowych</w:t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102"/>
        <w:gridCol w:w="5952"/>
        <w:gridCol w:w="2167"/>
      </w:tblGrid>
      <w:tr>
        <w:trPr>
          <w:trHeight w:val="557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Other1"/>
              <w:widowControl w:val="false"/>
              <w:ind w:firstLine="220"/>
              <w:rPr/>
            </w:pPr>
            <w:r>
              <w:rPr/>
              <w:t>Symbol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>
          <w:trHeight w:val="278" w:hRule="exac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WIEDZA</w:t>
            </w:r>
          </w:p>
        </w:tc>
      </w:tr>
      <w:tr>
        <w:trPr>
          <w:trHeight w:val="1090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 xml:space="preserve">Absolwent zna i rozumie specyfikę nauk o polityce i administracji, a także ich relacje do innych dyscyplin w ramach dziedziny nauk społecznych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K_W01</w:t>
            </w:r>
          </w:p>
        </w:tc>
      </w:tr>
      <w:tr>
        <w:trPr>
          <w:trHeight w:val="1094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Absolwent rozumie istotę oraz uwarunkowania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K_W02</w:t>
            </w:r>
          </w:p>
        </w:tc>
      </w:tr>
      <w:tr>
        <w:trPr>
          <w:trHeight w:val="1090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Absolwent zna złożoność wiedzy z dziedziny nauk społecznych, zwłaszcza dotyczącej badań w zakresie stosunków międzynarodowych z wykorzystaniem odpowiednich metod, technik i narzędzi badawczych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K_W03</w:t>
            </w:r>
          </w:p>
        </w:tc>
      </w:tr>
      <w:tr>
        <w:trPr>
          <w:trHeight w:val="872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Absolwent zna teorię i praktykę w zakresie funkcjonowania międzynarodowych systemów oraz instytucji społecznych  i politycznych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K_W04</w:t>
            </w:r>
          </w:p>
        </w:tc>
      </w:tr>
      <w:tr>
        <w:trPr>
          <w:trHeight w:val="821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UMIEJĘTNOŚCI</w:t>
            </w:r>
          </w:p>
        </w:tc>
      </w:tr>
      <w:tr>
        <w:trPr>
          <w:trHeight w:val="821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U_01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Absolwent potrafi budować strategie działań dotyczących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K_U02</w:t>
            </w:r>
          </w:p>
        </w:tc>
      </w:tr>
      <w:tr>
        <w:trPr>
          <w:trHeight w:val="821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U_02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Absolwent potrafi wykorzystując posiadaną wiedzę teoretyczną rozwiązywać problemy, prognozować działania oraz przewidywać ich skutki w zakresie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K_U03</w:t>
            </w:r>
          </w:p>
        </w:tc>
      </w:tr>
      <w:tr>
        <w:trPr>
          <w:trHeight w:val="654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U_03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Absolwent potrafi prawidłowo oceniać zagrożenia w stosunkach międzynarodowych, a także identyfikować ich przyczyny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K_U05</w:t>
            </w:r>
          </w:p>
        </w:tc>
      </w:tr>
      <w:tr>
        <w:trPr>
          <w:trHeight w:val="821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KOMPETENCJE SPOŁECZNE</w:t>
            </w:r>
          </w:p>
        </w:tc>
      </w:tr>
      <w:tr>
        <w:trPr>
          <w:trHeight w:val="821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K_01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Absolwent jest gotów do przestrzegania zasad etyki zawodowej oraz ich stosowania w zachowaniach mających na celu zapewnienie najwyższych standardów działania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K_K01</w:t>
            </w:r>
          </w:p>
        </w:tc>
      </w:tr>
      <w:tr>
        <w:trPr>
          <w:trHeight w:val="830" w:hRule="exact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p>
      <w:pPr>
        <w:pStyle w:val="Tablecaption1"/>
        <w:ind w:left="346" w:hanging="0"/>
        <w:rPr/>
      </w:pPr>
      <w:r>
        <w:rPr/>
        <w:t xml:space="preserve">• </w:t>
      </w:r>
      <w:r>
        <w:rPr/>
        <w:t>Opis przedmiotu/ treści programowe</w:t>
      </w:r>
    </w:p>
    <w:p>
      <w:pPr>
        <w:pStyle w:val="Normal"/>
        <w:spacing w:lineRule="exact" w:line="1" w:before="0" w:after="199"/>
        <w:rPr/>
      </w:pPr>
      <w:r>
        <w:rPr/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Istota i ewolucja międzynarodowych stosunków politycznych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Czynniki kształtujące międzynarodowe stosunki polityczne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Podmioty międzynarodowych stosunków politycznych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Państwo jako uczestnik stosunków międzynarodowych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Organizacje międzynarodowe jako uczestnik stosunków międzynarodowych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Unia Europejska jako uczestnik stosunków międzynarodowych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Służba dyplomatyczna i konsularna. Prawa człowieka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Bezpieczeństwo międzynarodowe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Procesy globalizacji</w:t>
      </w:r>
    </w:p>
    <w:p>
      <w:pPr>
        <w:pStyle w:val="Tretekstu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930" w:leader="none"/>
        </w:tabs>
        <w:spacing w:before="0" w:after="800"/>
        <w:rPr/>
      </w:pPr>
      <w:r>
        <w:rPr/>
      </w:r>
    </w:p>
    <w:p>
      <w:pPr>
        <w:pStyle w:val="Tablecaption1"/>
        <w:ind w:left="346" w:hanging="0"/>
        <w:rPr/>
      </w:pPr>
      <w:r>
        <w:rPr/>
        <w:t xml:space="preserve">• </w:t>
      </w:r>
      <w:r>
        <w:rPr/>
        <w:t>Metody realizacji i weryfikacji efektów uczenia się</w:t>
      </w:r>
    </w:p>
    <w:tbl>
      <w:tblPr>
        <w:tblW w:w="92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387"/>
        <w:gridCol w:w="2639"/>
        <w:gridCol w:w="2746"/>
        <w:gridCol w:w="2525"/>
      </w:tblGrid>
      <w:tr>
        <w:trPr>
          <w:trHeight w:val="552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Symbol efektu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Metody dydaktyczne </w:t>
            </w:r>
            <w:r>
              <w:rPr>
                <w:i/>
                <w:iCs/>
              </w:rPr>
              <w:t>(lista wyboru)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Metody weryfikacji </w:t>
            </w:r>
            <w:r>
              <w:rPr>
                <w:i/>
                <w:iCs/>
              </w:rPr>
              <w:t>(lista wyboru)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Sposoby dokumentacji </w:t>
            </w:r>
            <w:r>
              <w:rPr>
                <w:i/>
                <w:iCs/>
              </w:rPr>
              <w:t>(lista wyboru)</w:t>
            </w:r>
          </w:p>
        </w:tc>
      </w:tr>
      <w:tr>
        <w:trPr>
          <w:trHeight w:val="278" w:hRule="exact"/>
        </w:trPr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WIEDZA</w:t>
            </w:r>
          </w:p>
        </w:tc>
      </w:tr>
      <w:tr>
        <w:trPr>
          <w:trHeight w:val="278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W_01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Wykład konwencjonalny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Egzamin / Zaliczenie pisemne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552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W_02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Praca z tekstem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Egzamin / Zaliczenie pisemne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278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UMIEJĘTNOŚCI</w:t>
            </w:r>
          </w:p>
        </w:tc>
      </w:tr>
      <w:tr>
        <w:trPr>
          <w:trHeight w:val="547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U_01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Dyskusja, gra dydaktyczna, praca w grupach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Egzamin /zal.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552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U_02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Dyskusja gra dydaktyczna, praca w grupach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Egzamin /zal.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278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KOMPETENCJE SPOŁECZNE</w:t>
            </w:r>
          </w:p>
        </w:tc>
      </w:tr>
      <w:tr>
        <w:trPr>
          <w:trHeight w:val="547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K_01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Praca w grupach w różnych rolach, dyskusja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Egzamin /zal.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278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K_02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799"/>
        <w:rPr/>
      </w:pPr>
      <w:r>
        <w:rPr/>
      </w:r>
    </w:p>
    <w:p>
      <w:pPr>
        <w:pStyle w:val="Heading11"/>
        <w:keepNext w:val="true"/>
        <w:keepLines/>
        <w:spacing w:before="0" w:after="340"/>
        <w:ind w:firstLine="360"/>
        <w:rPr/>
      </w:pPr>
      <w:bookmarkStart w:id="1" w:name="bookmark2"/>
      <w:r>
        <w:rPr/>
        <w:t xml:space="preserve">• </w:t>
      </w:r>
      <w:r>
        <w:rPr/>
        <w:t>Kryteria oceny, wagi...</w:t>
      </w:r>
      <w:bookmarkStart w:id="2" w:name="_GoBack"/>
      <w:bookmarkEnd w:id="1"/>
      <w:bookmarkEnd w:id="2"/>
    </w:p>
    <w:p>
      <w:pPr>
        <w:pStyle w:val="Tretekstu"/>
        <w:numPr>
          <w:ilvl w:val="0"/>
          <w:numId w:val="2"/>
        </w:numPr>
        <w:tabs>
          <w:tab w:val="clear" w:pos="708"/>
          <w:tab w:val="left" w:pos="1080" w:leader="none"/>
        </w:tabs>
        <w:spacing w:before="0" w:after="200"/>
        <w:ind w:firstLine="720"/>
        <w:rPr/>
      </w:pPr>
      <w:r>
        <w:rPr/>
        <w:t>Udział w wydarzeniach (konferencje, seminaria) związanych z tematyką zajęć.</w:t>
      </w:r>
    </w:p>
    <w:p>
      <w:pPr>
        <w:pStyle w:val="Tretekstu"/>
        <w:numPr>
          <w:ilvl w:val="0"/>
          <w:numId w:val="2"/>
        </w:numPr>
        <w:tabs>
          <w:tab w:val="clear" w:pos="708"/>
          <w:tab w:val="left" w:pos="1080" w:leader="none"/>
        </w:tabs>
        <w:spacing w:before="0" w:after="200"/>
        <w:ind w:firstLine="720"/>
        <w:rPr/>
      </w:pPr>
      <w:r>
        <w:rPr/>
        <w:t>Egzamin pisemny (wiedza z wykładów i zalecanej literatury: pytania zamknięte i otwarte)</w:t>
      </w:r>
    </w:p>
    <w:p>
      <w:pPr>
        <w:pStyle w:val="Tretekstu"/>
        <w:spacing w:before="0" w:after="160"/>
        <w:rPr/>
      </w:pPr>
      <w:r>
        <w:rPr>
          <w:b/>
          <w:bCs/>
        </w:rPr>
        <w:t>niedostateczna</w:t>
      </w:r>
    </w:p>
    <w:p>
      <w:pPr>
        <w:pStyle w:val="Tretekstu"/>
        <w:spacing w:before="0" w:after="200"/>
        <w:rPr/>
      </w:pPr>
      <w:r>
        <w:rPr/>
        <w:t>(W) - Student nie zna terminów z zakresu przedmiotu</w:t>
      </w:r>
    </w:p>
    <w:p>
      <w:pPr>
        <w:pStyle w:val="Tretekstu"/>
        <w:spacing w:before="0" w:after="200"/>
        <w:rPr/>
      </w:pPr>
      <w:r>
        <w:rPr/>
        <w:t>(U) - Student nie potrafi zastosować podstawowych technik i narzędzi badawczych</w:t>
      </w:r>
    </w:p>
    <w:p>
      <w:pPr>
        <w:pStyle w:val="Tretekstu"/>
        <w:spacing w:before="0" w:after="200"/>
        <w:rPr/>
      </w:pPr>
      <w:r>
        <w:rPr/>
        <w:t>(K) - Student nie potrafi zorganizować własnego warsztatu pracy</w:t>
      </w:r>
    </w:p>
    <w:p>
      <w:pPr>
        <w:pStyle w:val="Heading11"/>
        <w:keepNext w:val="true"/>
        <w:keepLines/>
        <w:spacing w:before="0" w:after="200"/>
        <w:ind w:hanging="0"/>
        <w:rPr/>
      </w:pPr>
      <w:bookmarkStart w:id="3" w:name="bookmark4"/>
      <w:r>
        <w:rPr/>
        <w:t>Ocena dostateczna</w:t>
      </w:r>
      <w:bookmarkEnd w:id="3"/>
    </w:p>
    <w:p>
      <w:pPr>
        <w:pStyle w:val="Tretekstu"/>
        <w:spacing w:before="0" w:after="200"/>
        <w:rPr/>
      </w:pPr>
      <w:r>
        <w:rPr/>
        <w:t>(W) - Student zna wybrane terminy z zakresu przedmiotu</w:t>
      </w:r>
    </w:p>
    <w:p>
      <w:pPr>
        <w:pStyle w:val="Tretekstu"/>
        <w:spacing w:before="0" w:after="200"/>
        <w:rPr/>
      </w:pPr>
      <w:r>
        <w:rPr/>
        <w:t>(U) - Student potrafi zastosować niektóre techniki i narzędzia badawcze</w:t>
      </w:r>
    </w:p>
    <w:p>
      <w:pPr>
        <w:pStyle w:val="Tretekstu"/>
        <w:spacing w:before="0" w:after="200"/>
        <w:rPr/>
      </w:pPr>
      <w:r>
        <w:rPr/>
        <w:t>(K) - Student rozumie potrzebę organizacji własnego warsztatu pracy ale nie potrafi jej skutecznie zrealizować</w:t>
      </w:r>
    </w:p>
    <w:p>
      <w:pPr>
        <w:pStyle w:val="Heading11"/>
        <w:keepNext w:val="true"/>
        <w:keepLines/>
        <w:spacing w:before="0" w:after="200"/>
        <w:ind w:hanging="0"/>
        <w:rPr/>
      </w:pPr>
      <w:bookmarkStart w:id="4" w:name="bookmark6"/>
      <w:r>
        <w:rPr/>
        <w:t>Ocena dobra</w:t>
      </w:r>
      <w:bookmarkEnd w:id="4"/>
    </w:p>
    <w:p>
      <w:pPr>
        <w:pStyle w:val="Tretekstu"/>
        <w:spacing w:before="0" w:after="200"/>
        <w:rPr/>
      </w:pPr>
      <w:r>
        <w:rPr/>
        <w:t>(W)- Student zna większość terminów z zakresu przedmiotu</w:t>
      </w:r>
    </w:p>
    <w:p>
      <w:pPr>
        <w:pStyle w:val="Tretekstu"/>
        <w:spacing w:before="0" w:after="200"/>
        <w:rPr/>
      </w:pPr>
      <w:r>
        <w:rPr/>
        <w:t>(U)- Student potrafi zastosować techniki i narzędzia badawcze</w:t>
      </w:r>
    </w:p>
    <w:p>
      <w:pPr>
        <w:pStyle w:val="Tretekstu"/>
        <w:spacing w:before="0" w:after="200"/>
        <w:rPr/>
      </w:pPr>
      <w:r>
        <w:rPr/>
        <w:t>(K)- Student zna sposoby pracy w grupie</w:t>
      </w:r>
    </w:p>
    <w:p>
      <w:pPr>
        <w:pStyle w:val="Heading11"/>
        <w:keepNext w:val="true"/>
        <w:keepLines/>
        <w:spacing w:before="0" w:after="200"/>
        <w:ind w:hanging="0"/>
        <w:rPr/>
      </w:pPr>
      <w:bookmarkStart w:id="5" w:name="bookmark8"/>
      <w:r>
        <w:rPr/>
        <w:t>Ocena bardzo dobra</w:t>
      </w:r>
      <w:bookmarkEnd w:id="5"/>
    </w:p>
    <w:p>
      <w:pPr>
        <w:pStyle w:val="Tretekstu"/>
        <w:spacing w:before="0" w:after="200"/>
        <w:rPr/>
      </w:pPr>
      <w:r>
        <w:rPr/>
        <w:t>(W)- Student zna wszystkie wymagane terminy z zakresu przedmiotu</w:t>
      </w:r>
    </w:p>
    <w:p>
      <w:pPr>
        <w:pStyle w:val="Tablecaption1"/>
        <w:ind w:left="346" w:hanging="0"/>
        <w:rPr/>
      </w:pPr>
      <w:r>
        <w:rPr/>
        <w:t xml:space="preserve">• </w:t>
      </w:r>
      <w:r>
        <w:rPr/>
        <w:t>Obciążenie pracą studenta</w:t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607"/>
        <w:gridCol w:w="4613"/>
      </w:tblGrid>
      <w:tr>
        <w:trPr>
          <w:trHeight w:val="283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Forma aktywności studenta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Liczba godzin</w:t>
            </w:r>
          </w:p>
        </w:tc>
      </w:tr>
      <w:tr>
        <w:trPr>
          <w:trHeight w:val="552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Liczba godzin kontaktowych z nauczycielem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30</w:t>
            </w:r>
          </w:p>
        </w:tc>
      </w:tr>
      <w:tr>
        <w:trPr>
          <w:trHeight w:val="557" w:hRule="exact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Liczba godzin indywidualnej pracy studenta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60</w:t>
            </w:r>
          </w:p>
        </w:tc>
      </w:tr>
    </w:tbl>
    <w:p>
      <w:pPr>
        <w:pStyle w:val="Tablecaption1"/>
        <w:ind w:left="346" w:hanging="0"/>
        <w:rPr/>
      </w:pPr>
      <w:r>
        <w:rPr/>
        <w:t xml:space="preserve">• </w:t>
      </w:r>
      <w:r>
        <w:rPr/>
        <w:t>Literatura</w:t>
      </w:r>
    </w:p>
    <w:p>
      <w:pPr>
        <w:pStyle w:val="Normal"/>
        <w:spacing w:lineRule="exact" w:line="1" w:before="0" w:after="199"/>
        <w:rPr/>
      </w:pPr>
      <w:r>
        <w:rPr/>
      </w:r>
    </w:p>
    <w:p>
      <w:pPr>
        <w:pStyle w:val="Tretekstu"/>
        <w:pBdr>
          <w:bottom w:val="single" w:sz="4" w:space="0" w:color="000000"/>
        </w:pBdr>
        <w:tabs>
          <w:tab w:val="clear" w:pos="708"/>
          <w:tab w:val="left" w:pos="8602" w:leader="underscore"/>
        </w:tabs>
        <w:spacing w:before="0" w:after="0"/>
        <w:rPr/>
      </w:pPr>
      <w:r>
        <w:rPr>
          <w:u w:val="single"/>
        </w:rPr>
        <w:t>Literatura podstawowa</w:t>
      </w:r>
      <w:r>
        <w:rPr/>
        <w:tab/>
      </w:r>
    </w:p>
    <w:p>
      <w:pPr>
        <w:pStyle w:val="Tretekstu"/>
        <w:spacing w:before="0" w:after="0"/>
        <w:rPr/>
      </w:pPr>
      <w:r>
        <w:rPr/>
        <w:t>Międzynarodowe Stosunki Polityczne, M. Pietraś (red), Lublin 2021.</w:t>
      </w:r>
    </w:p>
    <w:p>
      <w:pPr>
        <w:pStyle w:val="Tretekstu"/>
        <w:spacing w:before="0" w:after="0"/>
        <w:rPr/>
      </w:pPr>
      <w:r>
        <w:rPr/>
      </w:r>
    </w:p>
    <w:p>
      <w:pPr>
        <w:pStyle w:val="Tretekstu"/>
        <w:pBdr>
          <w:top w:val="single" w:sz="4" w:space="0" w:color="000000"/>
          <w:bottom w:val="single" w:sz="4" w:space="0" w:color="000000"/>
        </w:pBdr>
        <w:tabs>
          <w:tab w:val="clear" w:pos="708"/>
          <w:tab w:val="left" w:pos="8947" w:leader="underscore"/>
        </w:tabs>
        <w:spacing w:before="0" w:after="0"/>
        <w:rPr/>
      </w:pPr>
      <w:r>
        <w:rPr>
          <w:u w:val="single"/>
        </w:rPr>
        <w:t>Literatura uzupełniająca</w:t>
      </w:r>
      <w:r>
        <w:rPr/>
        <w:tab/>
      </w:r>
    </w:p>
    <w:p>
      <w:pPr>
        <w:pStyle w:val="Tretekstu"/>
        <w:spacing w:before="0" w:after="0"/>
        <w:rPr/>
      </w:pPr>
      <w:r>
        <w:rPr/>
        <w:t xml:space="preserve">Globalizacja polityki światowej. Wprowadzenie do stosunków międzynarodowych, </w:t>
      </w:r>
      <w:r>
        <w:rPr>
          <w:lang w:val="en-US" w:eastAsia="en-US" w:bidi="en-US"/>
        </w:rPr>
        <w:t xml:space="preserve">J. Baylis, </w:t>
      </w:r>
      <w:r>
        <w:rPr/>
        <w:t>S. Smith (red.), Kraków 2008.</w:t>
      </w:r>
    </w:p>
    <w:p>
      <w:pPr>
        <w:pStyle w:val="Tretekstu"/>
        <w:spacing w:before="0" w:after="0"/>
        <w:rPr/>
      </w:pPr>
      <w:r>
        <w:rPr/>
        <w:t>Międzynarodowe stosunki polityczne, red. Cz. Mojsiewicz, W. Molendowski, Poznań 1996.</w:t>
      </w:r>
    </w:p>
    <w:p>
      <w:pPr>
        <w:pStyle w:val="Tretekstu"/>
        <w:spacing w:before="0" w:after="0"/>
        <w:rPr/>
      </w:pPr>
      <w:r>
        <w:rPr/>
        <w:t>Międzynarodowe stosunki polityczne, E. Cziomer (red.), Kraków 2008.</w:t>
      </w:r>
    </w:p>
    <w:p>
      <w:pPr>
        <w:pStyle w:val="Tretekstu"/>
        <w:spacing w:before="0" w:after="0"/>
        <w:rPr/>
      </w:pPr>
      <w:r>
        <w:rPr/>
        <w:t>P. Ostaszewski, Międzynarodowe Stosunki Polityczne. Zarys wykładów, Warszawa 2008.</w:t>
      </w:r>
    </w:p>
    <w:p>
      <w:pPr>
        <w:pStyle w:val="Tretekstu"/>
        <w:spacing w:before="0" w:after="0"/>
        <w:rPr/>
      </w:pPr>
      <w:r>
        <w:rPr/>
        <w:t>Stosunki międzynarodowe. Geneza. Struktura. Dynamika, E. Haliżak, R. Kuźniar (red.), Warszawa 2004.</w:t>
      </w:r>
    </w:p>
    <w:p>
      <w:pPr>
        <w:pStyle w:val="Tretekstu"/>
        <w:spacing w:before="0" w:after="0"/>
        <w:rPr/>
      </w:pPr>
      <w:r>
        <w:rPr/>
        <w:t>W. Szymborski, Międzynarodowe Stosunki Polityczne, Bydgoszcz 2008.</w:t>
      </w:r>
    </w:p>
    <w:sectPr>
      <w:footerReference w:type="default" r:id="rId2"/>
      <w:type w:val="nextPage"/>
      <w:pgSz w:w="11906" w:h="16838"/>
      <w:pgMar w:left="1759" w:right="834" w:gutter="0" w:header="0" w:top="1434" w:footer="3" w:bottom="17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3756660</wp:posOffset>
              </wp:positionH>
              <wp:positionV relativeFrom="page">
                <wp:posOffset>9646285</wp:posOffset>
              </wp:positionV>
              <wp:extent cx="55880" cy="185420"/>
              <wp:effectExtent l="0" t="0" r="0" b="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8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1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egoe UI" w:cs="Segoe UI" w:ascii="Segoe UI" w:hAnsi="Segoe UI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o:allowincell="f" style="position:absolute;margin-left:295.8pt;margin-top:759.55pt;width:4.3pt;height:14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21"/>
                      <w:rPr>
                        <w:sz w:val="22"/>
                        <w:szCs w:val="22"/>
                      </w:rPr>
                    </w:pPr>
                    <w:r>
                      <w:rPr>
                        <w:rFonts w:eastAsia="Segoe UI" w:cs="Segoe UI" w:ascii="Segoe UI" w:hAnsi="Segoe UI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  <w:color w:val="000000"/>
                      </w:rPr>
                      <w:instrText> PAGE </w:instrText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  <w:color w:val="000000"/>
                      </w:rPr>
                      <w:t>4</w:t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rFonts w:ascii="Calibri" w:hAnsi="Calibri" w:eastAsia="Calibri" w:cs="Calibri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Calibri" w:hAnsi="Calibri" w:cs="Calibri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Headerorfooter2" w:customStyle="1">
    <w:name w:val="Header or footer (2)_"/>
    <w:basedOn w:val="DefaultParagraphFont"/>
    <w:link w:val="Headerorfooter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ablecaption" w:customStyle="1">
    <w:name w:val="Table caption_"/>
    <w:basedOn w:val="DefaultParagraphFont"/>
    <w:link w:val="Tablecaption0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Other" w:customStyle="1">
    <w:name w:val="Other_"/>
    <w:basedOn w:val="DefaultParagraphFont"/>
    <w:link w:val="Other0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Heading1" w:customStyle="1">
    <w:name w:val="Heading #1_"/>
    <w:basedOn w:val="DefaultParagraphFont"/>
    <w:link w:val="Heading10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qFormat/>
    <w:pPr>
      <w:spacing w:before="0" w:after="140"/>
    </w:pPr>
    <w:rPr>
      <w:rFonts w:ascii="Calibri" w:hAnsi="Calibri" w:eastAsia="Calibri" w:cs="Calibri"/>
      <w:sz w:val="22"/>
      <w:szCs w:val="2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orfooter21" w:customStyle="1">
    <w:name w:val="Header or footer (2)"/>
    <w:basedOn w:val="Normal"/>
    <w:link w:val="Headerorfooter2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Tablecaption1" w:customStyle="1">
    <w:name w:val="Table caption"/>
    <w:basedOn w:val="Normal"/>
    <w:link w:val="Tablecaption"/>
    <w:qFormat/>
    <w:pPr/>
    <w:rPr>
      <w:rFonts w:ascii="Calibri" w:hAnsi="Calibri" w:eastAsia="Calibri" w:cs="Calibri"/>
      <w:b/>
      <w:bCs/>
      <w:sz w:val="22"/>
      <w:szCs w:val="22"/>
    </w:rPr>
  </w:style>
  <w:style w:type="paragraph" w:styleId="Other1" w:customStyle="1">
    <w:name w:val="Other"/>
    <w:basedOn w:val="Normal"/>
    <w:link w:val="Other"/>
    <w:qFormat/>
    <w:pPr/>
    <w:rPr>
      <w:rFonts w:ascii="Calibri" w:hAnsi="Calibri" w:eastAsia="Calibri" w:cs="Calibri"/>
      <w:sz w:val="22"/>
      <w:szCs w:val="22"/>
    </w:rPr>
  </w:style>
  <w:style w:type="paragraph" w:styleId="Heading11" w:customStyle="1">
    <w:name w:val="Heading #1"/>
    <w:basedOn w:val="Normal"/>
    <w:link w:val="Heading1"/>
    <w:qFormat/>
    <w:pPr>
      <w:spacing w:before="0" w:after="220"/>
      <w:ind w:firstLine="180"/>
      <w:outlineLvl w:val="0"/>
    </w:pPr>
    <w:rPr>
      <w:rFonts w:ascii="Calibri" w:hAnsi="Calibri" w:eastAsia="Calibri" w:cs="Calibri"/>
      <w:b/>
      <w:bCs/>
      <w:sz w:val="22"/>
      <w:szCs w:val="22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LibreOffice/7.2.6.2$Windows_X86_64 LibreOffice_project/b0ec3a565991f7569a5a7f5d24fed7f52653d754</Application>
  <AppVersion>15.0000</AppVersion>
  <Pages>6</Pages>
  <Words>658</Words>
  <Characters>4614</Characters>
  <CharactersWithSpaces>5114</CharactersWithSpaces>
  <Paragraphs>152</Paragraphs>
  <Company>IPN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2022-11-10T11:53:00Z</dcterms:created>
  <dc:creator>abordzol</dc:creator>
  <dc:description/>
  <dc:language>pl-PL</dc:language>
  <cp:lastModifiedBy/>
  <dcterms:modified xsi:type="dcterms:W3CDTF">2022-11-16T10:15:00Z</dcterms:modified>
  <cp:revision>6</cp:revision>
  <dc:subject/>
  <dc:title>Międzynarodowe stosunki polityc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