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KARTA PRZEDMIOTU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Dane podstawowe</w:t>
      </w:r>
    </w:p>
    <w:tbl>
      <w:tblPr>
        <w:tblStyle w:val="a6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Prawo </w:t>
            </w:r>
            <w:r>
              <w:rPr>
                <w:rFonts w:eastAsia="Calibri" w:cs="Times New Roman" w:ascii="Times New Roman" w:hAnsi="Times New Roman"/>
                <w:iCs/>
                <w:color w:val="000000"/>
                <w:kern w:val="0"/>
                <w:sz w:val="24"/>
                <w:szCs w:val="24"/>
                <w:lang w:val="pl-PL" w:eastAsia="en-US" w:bidi="ar-SA"/>
              </w:rPr>
              <w:t>gospodarcze UE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EU economic law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Stosunki międzynarodowe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(stacjonarne II stopnia)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Dyscyplina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zh-CN" w:bidi="ar-SA"/>
              </w:rPr>
              <w:t>nauki o zarządzaniu i jakości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6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0"/>
        <w:gridCol w:w="4521"/>
      </w:tblGrid>
      <w:tr>
        <w:trPr/>
        <w:tc>
          <w:tcPr>
            <w:tcW w:w="4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prof., dr. hab.  Kateryna Vaskivska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6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7"/>
        <w:gridCol w:w="2256"/>
        <w:gridCol w:w="2260"/>
        <w:gridCol w:w="2258"/>
      </w:tblGrid>
      <w:tr>
        <w:trPr/>
        <w:tc>
          <w:tcPr>
            <w:tcW w:w="2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Forma zajęć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  <w:t>(katalog zamknięty ze słownika)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Liczba godzin</w:t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wykład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</w:t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konwersatorium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15</w:t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IV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ćwiczenia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laboratorium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warsztaty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seminarium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proseminarium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lektorat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praktyki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zajęcia terenowe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pracownia dyplomowa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translatorium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wizyta studyjna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6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4"/>
        <w:gridCol w:w="6847"/>
      </w:tblGrid>
      <w:tr>
        <w:trPr/>
        <w:tc>
          <w:tcPr>
            <w:tcW w:w="22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Wymagania wstępne</w:t>
            </w:r>
          </w:p>
        </w:tc>
        <w:tc>
          <w:tcPr>
            <w:tcW w:w="68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Dla pełnego opanowania treść przedmiotu prawo gospodarcze Unii Europejskiej, student musi posiadać ogólną wiedzę z zakresu historii integracji europejskiej, instytucji i prawa UE.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360" w:hanging="0"/>
        <w:textAlignment w:val="baseline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Cele kształcenia dla przedmiotu 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 </w:t>
      </w:r>
    </w:p>
    <w:p>
      <w:pPr>
        <w:pStyle w:val="Normal"/>
        <w:spacing w:lineRule="auto" w:line="240" w:before="0" w:after="0"/>
        <w:ind w:left="360" w:hanging="0"/>
        <w:textAlignment w:val="baseline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tbl>
      <w:tblPr>
        <w:tblW w:w="9056" w:type="dxa"/>
        <w:jc w:val="left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9056"/>
      </w:tblGrid>
      <w:tr>
        <w:trPr>
          <w:trHeight w:val="300" w:hRule="atLeast"/>
        </w:trPr>
        <w:tc>
          <w:tcPr>
            <w:tcW w:w="9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Zapoznanie studentów z podstawowymi koncepcjami teoretycznymi, z nowymi rodzajami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w zakresie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prawa gospodarczego UE;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tcW w:w="9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C2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Zapoznanie studentów z problematyką rynku wewnętrznego;</w:t>
            </w:r>
          </w:p>
        </w:tc>
      </w:tr>
      <w:tr>
        <w:trPr>
          <w:trHeight w:val="300" w:hRule="atLeast"/>
        </w:trPr>
        <w:tc>
          <w:tcPr>
            <w:tcW w:w="9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Zapoznanie studentów z </w:t>
            </w:r>
            <w:r>
              <w:rPr>
                <w:rFonts w:cs="Times New Roman" w:ascii="Times New Roman" w:hAnsi="Times New Roman"/>
                <w:color w:val="1B1B1B"/>
                <w:sz w:val="24"/>
                <w:szCs w:val="24"/>
              </w:rPr>
              <w:t>swobodnym przepływem osób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 przedsiębiorczości, towarów,</w:t>
            </w:r>
            <w:r>
              <w:rPr>
                <w:rFonts w:eastAsia="Times New Roman" w:cs="Times New Roman" w:ascii="Times New Roman" w:hAnsi="Times New Roman"/>
                <w:color w:val="1E1E1F"/>
                <w:kern w:val="2"/>
                <w:sz w:val="24"/>
                <w:szCs w:val="24"/>
              </w:rPr>
              <w:t xml:space="preserve"> kapitału 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płatności.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eastAsia="Times New Roman" w:cs="Segoe UI" w:ascii="Segoe UI" w:hAnsi="Segoe UI"/>
          <w:sz w:val="18"/>
          <w:szCs w:val="18"/>
        </w:rPr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eastAsia="Times New Roman" w:cs="Segoe UI" w:ascii="Segoe UI" w:hAnsi="Segoe UI"/>
          <w:sz w:val="18"/>
          <w:szCs w:val="18"/>
        </w:rPr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eastAsia="Times New Roman" w:cs="Segoe UI" w:ascii="Segoe UI" w:hAnsi="Segoe UI"/>
          <w:sz w:val="18"/>
          <w:szCs w:val="18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III.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Efekty uczenia się dla przedmiotu wraz z odniesieniem do efektów kierunkowych</w:t>
      </w: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tbl>
      <w:tblPr>
        <w:tblW w:w="9056" w:type="dxa"/>
        <w:jc w:val="left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1080"/>
        <w:gridCol w:w="5817"/>
        <w:gridCol w:w="2159"/>
      </w:tblGrid>
      <w:tr>
        <w:trPr>
          <w:trHeight w:val="300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Symbol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Opis efektu przedmiotowego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Odniesienie do efektu kierunkowego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WIEDZA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W_01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Student powinien posiadać ogólną wiedzę z zakresu historii integracji europejskiej, instytucji i prawa UE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W_02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student zna najważniejsze orzeczenia Trybunału Sprawiedliwości UE dotyczące prawa gospodarczego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UMIEJĘTNOŚCI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U_01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Student potrafi interpretować orzecznictwo Trybunału Sprawiedliwości Unii Europejskiej dotyczące funkcjonowania rynku wewnętrznego i niektórych polityk sektorowych UE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U_02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Student prawidłowo stosuje normy prawa Unii Europejskiej do oceny skutków prawnych określonej sytuacji faktycznej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KOMPETENCJE SPOŁECZNE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K_01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Samodzielnie ocenia znaczenie normatywnych aktów prawnych i praktyki sądowej w zakresie prawa gospodarczego UE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K_02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Potrafi myśleć i działać twórczo przy rozwiązywaniu zadań związanych z prawem gospodarczym UE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ind w:left="1080" w:hanging="0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eastAsia="Times New Roman" w:cs="Calibri"/>
        </w:rPr>
        <w:t> 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360" w:hanging="0"/>
        <w:textAlignment w:val="baseline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Opis przedmiotu/ treści programowe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Calibri" w:hAnsi="Calibri" w:eastAsia="Times New Roman" w:cs="Calibri"/>
        </w:rPr>
      </w:pPr>
      <w:r>
        <w:rPr>
          <w:rFonts w:eastAsia="Times New Roman" w:cs="Calibri"/>
        </w:rPr>
      </w:r>
    </w:p>
    <w:p>
      <w:pPr>
        <w:pStyle w:val="ListParagraph"/>
        <w:numPr>
          <w:ilvl w:val="0"/>
          <w:numId w:val="7"/>
        </w:numPr>
        <w:spacing w:lineRule="auto" w:line="259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Pojęcie prawa gospodarczego Unii Europejskiej. Zasady ustrojowe, zródła prawa UE i kompetencje UE.</w:t>
      </w:r>
    </w:p>
    <w:p>
      <w:pPr>
        <w:pStyle w:val="ListParagraph"/>
        <w:numPr>
          <w:ilvl w:val="0"/>
          <w:numId w:val="7"/>
        </w:numPr>
        <w:spacing w:lineRule="auto" w:line="259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Rynek wewnętrzny zagadnienia ogólne.</w:t>
      </w:r>
    </w:p>
    <w:p>
      <w:pPr>
        <w:pStyle w:val="ListParagraph"/>
        <w:numPr>
          <w:ilvl w:val="0"/>
          <w:numId w:val="7"/>
        </w:numPr>
        <w:spacing w:lineRule="auto" w:line="259" w:before="0" w:after="16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Personalne swobody rynku wewnętrznego. Obywatelstwo Unii.</w:t>
      </w:r>
    </w:p>
    <w:p>
      <w:pPr>
        <w:pStyle w:val="ListParagraph"/>
        <w:numPr>
          <w:ilvl w:val="0"/>
          <w:numId w:val="7"/>
        </w:numPr>
        <w:spacing w:lineRule="auto" w:line="259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1B1B1B"/>
          <w:sz w:val="24"/>
          <w:szCs w:val="24"/>
        </w:rPr>
        <w:t>Swobodny przepływ osób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uto" w:line="240" w:before="0" w:after="0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Swoboda przedsi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ębiorczości.</w:t>
      </w:r>
    </w:p>
    <w:p>
      <w:pPr>
        <w:pStyle w:val="ListParagraph"/>
        <w:numPr>
          <w:ilvl w:val="0"/>
          <w:numId w:val="7"/>
        </w:numPr>
        <w:spacing w:lineRule="auto" w:line="259" w:before="0" w:after="0"/>
        <w:ind w:left="720" w:right="720" w:hanging="360"/>
        <w:contextualSpacing/>
        <w:rPr>
          <w:bCs/>
          <w:sz w:val="18"/>
          <w:szCs w:val="18"/>
        </w:rPr>
      </w:pPr>
      <w:r>
        <w:rPr>
          <w:rStyle w:val="Style181"/>
          <w:rFonts w:cs="Times New Roman" w:ascii="Times New Roman" w:hAnsi="Times New Roman"/>
          <w:bCs/>
          <w:sz w:val="24"/>
          <w:szCs w:val="24"/>
        </w:rPr>
        <w:t xml:space="preserve">Spółki występujące w prawie francuskim. </w:t>
      </w:r>
      <w:r>
        <w:rPr>
          <w:rFonts w:cs="Times New Roman" w:ascii="Times New Roman" w:hAnsi="Times New Roman"/>
          <w:sz w:val="24"/>
          <w:szCs w:val="24"/>
        </w:rPr>
        <w:t>System prawa niemieckiego. Spółki osobowe.</w:t>
      </w:r>
    </w:p>
    <w:p>
      <w:pPr>
        <w:pStyle w:val="ListParagraph"/>
        <w:numPr>
          <w:ilvl w:val="0"/>
          <w:numId w:val="7"/>
        </w:numPr>
        <w:spacing w:lineRule="auto" w:line="259" w:before="0" w:after="0"/>
        <w:ind w:left="720" w:right="720" w:hanging="360"/>
        <w:contextualSpacing/>
        <w:rPr>
          <w:rStyle w:val="Style181"/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  <w:color w:val="000000"/>
          <w:kern w:val="2"/>
        </w:rPr>
        <w:t>Spółki w wybranych krajach europejskich.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uto" w:line="240" w:before="0" w:after="0"/>
        <w:contextualSpacing/>
        <w:outlineLvl w:val="0"/>
        <w:rPr/>
      </w:pPr>
      <w:r>
        <w:rPr>
          <w:rFonts w:cs="Times New Roman" w:ascii="Times New Roman" w:hAnsi="Times New Roman"/>
          <w:sz w:val="24"/>
          <w:szCs w:val="24"/>
        </w:rPr>
        <w:t>Swobodny przepływ towarów.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uto" w:line="240" w:before="0" w:afterAutospacing="1"/>
        <w:contextualSpacing/>
        <w:outlineLvl w:val="0"/>
        <w:rPr/>
      </w:pPr>
      <w:r>
        <w:rPr>
          <w:rFonts w:eastAsia="Times New Roman" w:cs="Times New Roman" w:ascii="Times New Roman" w:hAnsi="Times New Roman"/>
          <w:color w:val="1E1E1F"/>
          <w:kern w:val="2"/>
          <w:sz w:val="24"/>
          <w:szCs w:val="24"/>
        </w:rPr>
        <w:t>Swobodny przepływ kapitału 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/>
        <w:t>płatności.</w:t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0" w:afterAutospacing="1"/>
        <w:ind w:left="720" w:hanging="0"/>
        <w:contextualSpacing/>
        <w:outlineLvl w:val="0"/>
        <w:rPr/>
      </w:pPr>
      <w:r>
        <w:rPr/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360" w:hanging="0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Metody realizacji i weryfikacji efektów uczenia się</w:t>
      </w: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tbl>
      <w:tblPr>
        <w:tblW w:w="9056" w:type="dxa"/>
        <w:jc w:val="left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1078"/>
        <w:gridCol w:w="2640"/>
        <w:gridCol w:w="2774"/>
        <w:gridCol w:w="2563"/>
      </w:tblGrid>
      <w:tr>
        <w:trPr>
          <w:trHeight w:val="300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Symbol efektu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Metody dydaktyczne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</w:rPr>
              <w:t>(lista wyboru)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Metody weryfikacji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</w:rPr>
              <w:t>(lista wyboru)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Sposoby dokumentacji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</w:rPr>
              <w:t>(lista wyboru)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0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WIEDZA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W_01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Studium przypadku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Prezentacja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Karta oceny/Raport z obserwacji  </w:t>
            </w:r>
          </w:p>
        </w:tc>
      </w:tr>
      <w:tr>
        <w:trPr>
          <w:trHeight w:val="300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W_02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Studium przypadku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Prezentacja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Karta oceny/Raport z obserwacji  </w:t>
            </w:r>
          </w:p>
        </w:tc>
      </w:tr>
      <w:tr>
        <w:trPr>
          <w:trHeight w:val="300" w:hRule="atLeast"/>
        </w:trPr>
        <w:tc>
          <w:tcPr>
            <w:tcW w:w="90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UMIEJĘTNOŚCI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U_01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Metoda problemowa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PBL (Problem-Based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Learning)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Sprawozdanie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Protokół / Wydruk / Plik sprawozdania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U_02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Praca </w:t>
            </w:r>
            <w:r>
              <w:rPr>
                <w:rFonts w:cs="Times New Roman" w:ascii="Times New Roman" w:hAnsi="Times New Roman"/>
              </w:rPr>
              <w:t xml:space="preserve">indywidualna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Obserwacja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Karta oceny pracy </w:t>
            </w:r>
            <w:r>
              <w:rPr>
                <w:rFonts w:cs="Times New Roman" w:ascii="Times New Roman" w:hAnsi="Times New Roman"/>
              </w:rPr>
              <w:t xml:space="preserve">indywidualnej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0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KOMPETENCJE SPOŁECZNE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K_01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Praca w grupe (metoda projektu) 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Przygotowanie / wykonanie  prezentacji/projektu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Karta oceny pracy w grupe</w:t>
            </w:r>
          </w:p>
        </w:tc>
      </w:tr>
      <w:tr>
        <w:trPr>
          <w:trHeight w:val="300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K_02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Praca w grupe (metoda projektu) 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Przygotowanie / wykonanie prezentacji/projektu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Karta oceny pracy w grupe</w:t>
            </w:r>
          </w:p>
        </w:tc>
      </w:tr>
    </w:tbl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textAlignment w:val="baseline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Kryteria oceny, wagi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Konwersatorium 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końcowe Zal. na ocenę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składa się: 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>aktywne uczestnictwo w zajęciach (30 pkt)</w:t>
      </w: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- wykonanie konkretnych zadań postawionych przez prowadzącego na</w:t>
      </w: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poszczególnych etapach realizacji programu zajęć (20 pkt)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val="uk-UA"/>
        </w:rPr>
        <w:t xml:space="preserve">- </w:t>
      </w:r>
      <w:r>
        <w:rPr>
          <w:rFonts w:eastAsia="Times New Roman" w:cs="Times New Roman" w:ascii="Times New Roman" w:hAnsi="Times New Roman"/>
          <w:sz w:val="24"/>
          <w:szCs w:val="24"/>
        </w:rPr>
        <w:t> 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wykonanie testy </w:t>
      </w:r>
      <w:r>
        <w:rPr>
          <w:rFonts w:cs="Times New Roman" w:ascii="Times New Roman" w:hAnsi="Times New Roman"/>
          <w:sz w:val="24"/>
          <w:szCs w:val="24"/>
        </w:rPr>
        <w:t xml:space="preserve">składającego się z 20 pytań z wariantowymi odpowiedziami.Student wybiera prawidłową odpowiedź w oparciu o uzyskaną wiedzę oraz umiejętności analizy zjawiska </w:t>
      </w:r>
      <w:r>
        <w:rPr>
          <w:rFonts w:cs="Times New Roman" w:ascii="Times New Roman" w:hAnsi="Times New Roman"/>
          <w:sz w:val="24"/>
          <w:szCs w:val="24"/>
          <w:lang w:val="uk-UA"/>
        </w:rPr>
        <w:t>(25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>pkt</w:t>
      </w:r>
      <w:r>
        <w:rPr>
          <w:rFonts w:cs="Times New Roman" w:ascii="Times New Roman" w:hAnsi="Times New Roman"/>
          <w:sz w:val="24"/>
          <w:szCs w:val="24"/>
          <w:lang w:val="uk-UA"/>
        </w:rPr>
        <w:t>)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zaliczenie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>indywidualnego zadania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>(15 pkt)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</w:rPr>
        <w:t>- zaliczenie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 p</w:t>
      </w:r>
      <w:r>
        <w:rPr>
          <w:rFonts w:eastAsia="Times New Roman" w:cs="Times New Roman" w:ascii="Times New Roman" w:hAnsi="Times New Roman"/>
          <w:sz w:val="24"/>
          <w:szCs w:val="24"/>
        </w:rPr>
        <w:t>racy w grupe (10 pkt)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 uzyskania oceny pozytywnej wymagane jest uzyskanie 51 pkt. Maksymalna liczba punktów wynosi 100 pkt.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Kryteria oceny: 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91-100 punktów – ocena 5.0 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81-90 punktów – ocena 4.5 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71-80 punktów – ocena 4.0 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61-70 punktów – ocena 3.5 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51-60 punktów – ocena 3.0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360" w:hanging="0"/>
        <w:textAlignment w:val="baseline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Obciążenie pracą studenta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 </w:t>
      </w:r>
    </w:p>
    <w:tbl>
      <w:tblPr>
        <w:tblW w:w="9045" w:type="dxa"/>
        <w:jc w:val="left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4529"/>
        <w:gridCol w:w="4515"/>
      </w:tblGrid>
      <w:tr>
        <w:trPr>
          <w:trHeight w:val="300" w:hRule="atLeast"/>
        </w:trPr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Forma aktywności studenta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Liczba godzin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Liczba godzin kontaktowych z nauczycielem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 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15 godzin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Liczba godzin indywidualnej pracy studenta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15 godzin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 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360" w:hanging="0"/>
        <w:textAlignment w:val="baseline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Literatura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 </w:t>
      </w:r>
    </w:p>
    <w:tbl>
      <w:tblPr>
        <w:tblW w:w="9056" w:type="dxa"/>
        <w:jc w:val="left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9056"/>
      </w:tblGrid>
      <w:tr>
        <w:trPr>
          <w:trHeight w:val="300" w:hRule="atLeast"/>
        </w:trPr>
        <w:tc>
          <w:tcPr>
            <w:tcW w:w="9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Literatura podstawowa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ar-SA"/>
              </w:rPr>
              <w:t>1.Kornobis-Romanowska D. (red.), Prawo rynku wewnętrznego. System Prawa Unii Europejskiej. Tom 7, Seria: System Prawa Unii Europejskiej, Beck 2019</w:t>
            </w:r>
          </w:p>
          <w:p>
            <w:pPr>
              <w:pStyle w:val="Normal"/>
              <w:widowControl w:val="false"/>
              <w:spacing w:lineRule="auto" w:line="240" w:before="0" w:after="9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2.Prawo gospodarcze Unii Europejskiej, J. Barcz (red.), Warszawa 2011.</w:t>
            </w:r>
          </w:p>
          <w:p>
            <w:pPr>
              <w:pStyle w:val="Normal"/>
              <w:widowControl w:val="false"/>
              <w:spacing w:lineRule="auto" w:line="240" w:before="0" w:after="9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3.Instytucje i prawo Unii Europejskiej. Podręcznik dla kierunków prawa, zarządzania i administracji, J. Barcz, M. Górka, A. Wyrozumska (red.), Warszawa 2012.</w:t>
            </w:r>
          </w:p>
          <w:p>
            <w:pPr>
              <w:pStyle w:val="Normal"/>
              <w:widowControl w:val="false"/>
              <w:spacing w:lineRule="auto" w:line="240" w:before="0" w:after="9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4.Podstawy prawa Unii Europejskiej z uwzględnieniem Traktatu z Lizbony. Zarys wykładu, J. Galster (red.), Toruń 2010.</w:t>
            </w:r>
          </w:p>
          <w:p>
            <w:pPr>
              <w:pStyle w:val="Normal"/>
              <w:widowControl w:val="false"/>
              <w:spacing w:lineRule="auto" w:line="240" w:before="0" w:after="9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5.Prawo instytucjonalne Unii Europejskiej w zarysie, A. Kuś (red.), Lublin 2012.</w:t>
            </w:r>
          </w:p>
          <w:p>
            <w:pPr>
              <w:pStyle w:val="Normal"/>
              <w:widowControl w:val="false"/>
              <w:spacing w:lineRule="auto" w:line="240" w:before="0" w:after="9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6.Traktat o Unii Europejskiej (wersja skonsolidowana), Dz. Urz. UE C.08.115.13 z 9 maja 2008 r., wersja poprawiona Dz. Urz. UE 2016 C 202 z 07.06.2016</w:t>
            </w:r>
          </w:p>
          <w:p>
            <w:pPr>
              <w:pStyle w:val="Normal"/>
              <w:widowControl w:val="false"/>
              <w:spacing w:lineRule="auto" w:line="240" w:before="0" w:after="9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7.Traktat o funkcjonowaniu Unii Europejskiej (wersja skonsolidowana), Dz. Urz. UE 2016 C 202.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ar-SA"/>
              </w:rPr>
              <w:t xml:space="preserve">8. </w:t>
            </w:r>
            <w:r>
              <w:rPr>
                <w:rFonts w:cs="Times New Roman" w:ascii="Times New Roman" w:hAnsi="Times New Roman"/>
              </w:rPr>
              <w:t>Zawidzka-Łojek A. , R. Grzeszczak (red.), Prawo materialne Unii Europejskiej. Vademecum, Warszawa 2012.</w:t>
            </w:r>
          </w:p>
        </w:tc>
      </w:tr>
      <w:tr>
        <w:trPr>
          <w:trHeight w:val="300" w:hRule="atLeast"/>
        </w:trPr>
        <w:tc>
          <w:tcPr>
            <w:tcW w:w="9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Literatura uzupełniająca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</w:rPr>
              <w:t>9.</w:t>
            </w:r>
            <w:r>
              <w:rPr>
                <w:rFonts w:eastAsia="Times New Roman" w:cs="Times New Roman" w:ascii="Times New Roman" w:hAnsi="Times New Roman"/>
                <w:bCs/>
                <w:lang w:eastAsia="ar-SA"/>
              </w:rPr>
              <w:t>Dyrektywa 2006/123/WE Parlamentu Europejskiego i Rady z dnia 12 grudnia 2006 r. dotycząca usług na rynku wewnętrznym, Dz.U. L 376 z 27.12.2006, s. 36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ar-SA"/>
              </w:rPr>
              <w:t>10.Dyrektywa 2005/36/WE Parlamentu Europejskiego i Rady z dnia 7 września 2005 r. w sprawie uznawania kwalifikacji zawodowych, Dz.U. L 255 z 30.9.2005, s. 22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</w:rPr>
              <w:t>11.Prawo Unii Europejskiej. Zagadnienia systemowe. Prawo materialne i polityki, J. Barcz (red.), Warszawa 2006.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br/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lvl w:ilvl="0">
      <w:start w:val="4"/>
      <w:numFmt w:val="upperRoman"/>
      <w:lvlText w:val="%1."/>
      <w:lvlJc w:val="right"/>
      <w:pPr>
        <w:tabs>
          <w:tab w:val="num" w:pos="501"/>
        </w:tabs>
        <w:ind w:left="501" w:hanging="360"/>
      </w:pPr>
      <w:rPr>
        <w:lang w:val="pl-PL"/>
      </w:rPr>
    </w:lvl>
    <w:lvl w:ilvl="1">
      <w:start w:val="1"/>
      <w:numFmt w:val="upperRoman"/>
      <w:lvlText w:val="%2."/>
      <w:lvlJc w:val="right"/>
      <w:pPr>
        <w:tabs>
          <w:tab w:val="num" w:pos="1221"/>
        </w:tabs>
        <w:ind w:left="1221" w:hanging="360"/>
      </w:pPr>
    </w:lvl>
    <w:lvl w:ilvl="2">
      <w:start w:val="1"/>
      <w:numFmt w:val="upperRoman"/>
      <w:lvlText w:val="%3."/>
      <w:lvlJc w:val="right"/>
      <w:pPr>
        <w:tabs>
          <w:tab w:val="num" w:pos="1941"/>
        </w:tabs>
        <w:ind w:left="1941" w:hanging="360"/>
      </w:pPr>
    </w:lvl>
    <w:lvl w:ilvl="3">
      <w:start w:val="1"/>
      <w:numFmt w:val="upperRoman"/>
      <w:lvlText w:val="%4."/>
      <w:lvlJc w:val="right"/>
      <w:pPr>
        <w:tabs>
          <w:tab w:val="num" w:pos="2661"/>
        </w:tabs>
        <w:ind w:left="2661" w:hanging="360"/>
      </w:pPr>
    </w:lvl>
    <w:lvl w:ilvl="4">
      <w:start w:val="1"/>
      <w:numFmt w:val="upperRoman"/>
      <w:lvlText w:val="%5."/>
      <w:lvlJc w:val="right"/>
      <w:pPr>
        <w:tabs>
          <w:tab w:val="num" w:pos="3381"/>
        </w:tabs>
        <w:ind w:left="3381" w:hanging="360"/>
      </w:pPr>
    </w:lvl>
    <w:lvl w:ilvl="5">
      <w:start w:val="1"/>
      <w:numFmt w:val="upperRoman"/>
      <w:lvlText w:val="%6."/>
      <w:lvlJc w:val="right"/>
      <w:pPr>
        <w:tabs>
          <w:tab w:val="num" w:pos="4101"/>
        </w:tabs>
        <w:ind w:left="4101" w:hanging="360"/>
      </w:pPr>
    </w:lvl>
    <w:lvl w:ilvl="6">
      <w:start w:val="1"/>
      <w:numFmt w:val="upperRoman"/>
      <w:lvlText w:val="%7."/>
      <w:lvlJc w:val="right"/>
      <w:pPr>
        <w:tabs>
          <w:tab w:val="num" w:pos="4821"/>
        </w:tabs>
        <w:ind w:left="4821" w:hanging="360"/>
      </w:pPr>
    </w:lvl>
    <w:lvl w:ilvl="7">
      <w:start w:val="1"/>
      <w:numFmt w:val="upperRoman"/>
      <w:lvlText w:val="%8."/>
      <w:lvlJc w:val="right"/>
      <w:pPr>
        <w:tabs>
          <w:tab w:val="num" w:pos="5541"/>
        </w:tabs>
        <w:ind w:left="5541" w:hanging="360"/>
      </w:pPr>
    </w:lvl>
    <w:lvl w:ilvl="8">
      <w:start w:val="1"/>
      <w:numFmt w:val="upperRoman"/>
      <w:lvlText w:val="%9."/>
      <w:lvlJc w:val="right"/>
      <w:pPr>
        <w:tabs>
          <w:tab w:val="num" w:pos="6261"/>
        </w:tabs>
        <w:ind w:left="6261" w:hanging="360"/>
      </w:pPr>
    </w:lvl>
  </w:abstractNum>
  <w:abstractNum w:abstractNumId="4"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10"/>
    <w:uiPriority w:val="9"/>
    <w:qFormat/>
    <w:rsid w:val="00b93e76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gwek2">
    <w:name w:val="Heading 2"/>
    <w:basedOn w:val="Normal"/>
    <w:next w:val="Normal"/>
    <w:link w:val="20"/>
    <w:uiPriority w:val="9"/>
    <w:unhideWhenUsed/>
    <w:qFormat/>
    <w:rsid w:val="00d34820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Style12" w:customStyle="1">
    <w:name w:val="Верхній колонтитул Знак"/>
    <w:basedOn w:val="DefaultParagraphFont"/>
    <w:link w:val="a7"/>
    <w:uiPriority w:val="99"/>
    <w:qFormat/>
    <w:rsid w:val="00b04272"/>
    <w:rPr/>
  </w:style>
  <w:style w:type="character" w:styleId="Style13" w:customStyle="1">
    <w:name w:val="Нижній колонтитул Знак"/>
    <w:basedOn w:val="DefaultParagraphFont"/>
    <w:link w:val="a9"/>
    <w:uiPriority w:val="99"/>
    <w:qFormat/>
    <w:rsid w:val="00b04272"/>
    <w:rPr/>
  </w:style>
  <w:style w:type="character" w:styleId="Style14" w:customStyle="1">
    <w:name w:val="Текст у виносці Знак"/>
    <w:basedOn w:val="DefaultParagraphFont"/>
    <w:link w:val="ab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Appletabspan" w:customStyle="1">
    <w:name w:val="apple-tab-span"/>
    <w:basedOn w:val="DefaultParagraphFont"/>
    <w:qFormat/>
    <w:rsid w:val="00e23a10"/>
    <w:rPr/>
  </w:style>
  <w:style w:type="character" w:styleId="2" w:customStyle="1">
    <w:name w:val="Заголовок 2 Знак"/>
    <w:basedOn w:val="DefaultParagraphFont"/>
    <w:link w:val="2"/>
    <w:uiPriority w:val="9"/>
    <w:qFormat/>
    <w:rsid w:val="00d34820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1" w:customStyle="1">
    <w:name w:val="Заголовок 1 Знак"/>
    <w:basedOn w:val="DefaultParagraphFont"/>
    <w:link w:val="1"/>
    <w:uiPriority w:val="9"/>
    <w:qFormat/>
    <w:rsid w:val="00b93e76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Style181" w:customStyle="1">
    <w:name w:val="style181"/>
    <w:qFormat/>
    <w:rsid w:val="00d82cde"/>
    <w:rPr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a8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aa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c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BA35CB97F65640BD1CC9E41C09B43D" ma:contentTypeVersion="5" ma:contentTypeDescription="Utwórz nowy dokument." ma:contentTypeScope="" ma:versionID="2074a6722af98b17114dacbe54df20c4">
  <xsd:schema xmlns:xsd="http://www.w3.org/2001/XMLSchema" xmlns:xs="http://www.w3.org/2001/XMLSchema" xmlns:p="http://schemas.microsoft.com/office/2006/metadata/properties" xmlns:ns2="7c5ed13d-7f1c-47ba-a655-78aa15ac174d" xmlns:ns3="e8fa3dad-ca84-4d8f-aa5a-6b5bf0499b34" targetNamespace="http://schemas.microsoft.com/office/2006/metadata/properties" ma:root="true" ma:fieldsID="56ce7f141c9c97d3f5662974758814c0" ns2:_="" ns3:_="">
    <xsd:import namespace="7c5ed13d-7f1c-47ba-a655-78aa15ac174d"/>
    <xsd:import namespace="e8fa3dad-ca84-4d8f-aa5a-6b5bf0499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ed13d-7f1c-47ba-a655-78aa15ac1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a3dad-ca84-4d8f-aa5a-6b5bf0499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2A3F7-9B86-42DA-A5A8-986FEF095E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924C1-F55B-4881-B03A-F5A314F07A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477D5E-4328-4D32-A049-F42CB0BE8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ed13d-7f1c-47ba-a655-78aa15ac174d"/>
    <ds:schemaRef ds:uri="e8fa3dad-ca84-4d8f-aa5a-6b5bf0499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406745-44A2-4C88-838E-97D10527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LibreOffice/7.2.6.2$Windows_X86_64 LibreOffice_project/b0ec3a565991f7569a5a7f5d24fed7f52653d754</Application>
  <AppVersion>15.0000</AppVersion>
  <Pages>4</Pages>
  <Words>753</Words>
  <Characters>4977</Characters>
  <CharactersWithSpaces>5672</CharactersWithSpaces>
  <Paragraphs>160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2024-01-28T13:43:00Z</dcterms:created>
  <dc:creator>Anna Łukasiewicz</dc:creator>
  <dc:description/>
  <dc:language>pl-PL</dc:language>
  <cp:lastModifiedBy/>
  <cp:lastPrinted>2019-01-23T11:10:00Z</cp:lastPrinted>
  <dcterms:modified xsi:type="dcterms:W3CDTF">2024-03-08T13:30:29Z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0x01010029BA35CB97F65640BD1CC9E41C09B43D</vt:lpwstr>
  </property>
</Properties>
</file>