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 2023/2024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Społeczeństwo informacyjne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Information society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Łukasz Sarowski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Znajomość podstawowych założeń dotyczących kształtowania się społeczeństwa informacyjnego.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C1: Przekazanie wiedzy w zakresie kluczowych procesów kształtowania się społeczeństwa informacyjnego.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C2: Analiza czynników determinujących powstania społeczeństwa informacyjnego.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C2: Analiza perspektyw wykorzystania technologii sztucznej inteligencji w perspektywie rozwoju społeczeństwa informacyjnego.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5953"/>
        <w:gridCol w:w="2159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rozumie istotę i cechy czynników kształtujących społeczeństwo informacyjne.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zna i rozumie procesy, które leżą u podstaw kształtowania się społeczeństwa informacyjnego, w tym rozwoju technologii informacyjno-komunikacyjnych.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W_05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dokonać analizy bieżących czynników determinujących rozwój i ewolucję społeczeństwa informacyjnego.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prawidłowo wskazać i ocenić zagrożenia wynikające z rozwoju społeczeństwa informacyjnego i ewolucji technologii informacyjno-komunikacyjnych.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U_05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ma świadomość  konieczności ciągłego pogłębiania wiedzy z zakresu społeczeństwa informacyjnego, szczególnie na temat zmian w obszarze technologii informacyjno-komunikacyjnych i sztucznej inteligencji..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samodzielnie dokonuje analizy i oceny wydarzeń.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  <w:bookmarkStart w:id="0" w:name="_GoBack"/>
            <w:bookmarkEnd w:id="0"/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Wprowadzenie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Kontekst historyczny rozwoju społeczeństwa informacyjnego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Koncepcje teoretyczne: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Społeczeństwo informacyjne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Społeczeństwo sieciowe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Definicja technologii informacyjno-komunikacyjnych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Fazy rozwoju internetu w kontekście ewolucji społeczeństwa informacyjnego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Internet Web 1.0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Internet Web 2.0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Internet Web 3.0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Internet Web 4.0 (internet rzeczy i wszechrzeczy)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Internet Web 5.0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Społeczeństwo informacyjne w dobie technologii sztucznej inteligencji i robotyki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Ramy koncepcyjne sztucznej inteligencji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Modele generatywne sztucznej inteligencji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Zrobotyzowane artefakty relacyjne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2694"/>
        <w:gridCol w:w="2834"/>
        <w:gridCol w:w="2583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 (dyskusja i prezentacje)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 (dyskusja i prezentacje)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4406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0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4"/>
      </w:tblGrid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aktywności studenta</w:t>
            </w:r>
          </w:p>
        </w:tc>
        <w:tc>
          <w:tcPr>
            <w:tcW w:w="4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kontaktowych z nauczycielem</w:t>
            </w:r>
          </w:p>
        </w:tc>
        <w:tc>
          <w:tcPr>
            <w:tcW w:w="46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indywidualnej pracy studenta</w:t>
            </w:r>
          </w:p>
        </w:tc>
        <w:tc>
          <w:tcPr>
            <w:tcW w:w="46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30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>
          <w:b/>
          <w:b/>
        </w:rPr>
      </w:pPr>
      <w:r>
        <w:rPr>
          <w:b/>
        </w:rPr>
        <w:t>Ocena końcowa zajęć składa się z trzech elementów:</w:t>
      </w:r>
    </w:p>
    <w:p>
      <w:pPr>
        <w:pStyle w:val="ListParagraph"/>
        <w:numPr>
          <w:ilvl w:val="0"/>
          <w:numId w:val="6"/>
        </w:numPr>
        <w:rPr>
          <w:b/>
          <w:b/>
        </w:rPr>
      </w:pPr>
      <w:r>
        <w:rPr>
          <w:b/>
        </w:rPr>
        <w:t>Obecność, przygotowanie do zajęć i udział w dyskusji – 25% oceny końcowej</w:t>
      </w:r>
    </w:p>
    <w:p>
      <w:pPr>
        <w:pStyle w:val="ListParagraph"/>
        <w:numPr>
          <w:ilvl w:val="0"/>
          <w:numId w:val="6"/>
        </w:numPr>
        <w:rPr>
          <w:b/>
          <w:b/>
        </w:rPr>
      </w:pPr>
      <w:r>
        <w:rPr>
          <w:b/>
        </w:rPr>
        <w:t>Przygotowanie prezentacji multimedialnej i przeprowadzenie dyskusji w oparciu o nią na podstawie wcześniej zgłoszonego przez studenta/studentkę tematu prezentacji 25%.</w:t>
      </w:r>
    </w:p>
    <w:p>
      <w:pPr>
        <w:pStyle w:val="ListParagraph"/>
        <w:numPr>
          <w:ilvl w:val="0"/>
          <w:numId w:val="6"/>
        </w:numPr>
        <w:rPr>
          <w:b/>
          <w:b/>
        </w:rPr>
      </w:pPr>
      <w:r>
        <w:rPr>
          <w:b/>
        </w:rPr>
        <w:t>Test – 50 % oceny końcowej.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LITERATURA: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textAlignment w:val="baseline"/>
        <w:outlineLvl w:val="0"/>
        <w:rPr>
          <w:rFonts w:eastAsia="Times New Roman" w:cs="Calibri" w:cstheme="minorHAnsi"/>
          <w:bCs/>
          <w:color w:val="272727"/>
          <w:lang w:eastAsia="pl-PL"/>
        </w:rPr>
      </w:pPr>
      <w:r>
        <w:rPr>
          <w:rFonts w:eastAsia="Times New Roman" w:cs="Calibri" w:cstheme="minorHAnsi"/>
          <w:bCs/>
          <w:color w:val="272727"/>
          <w:kern w:val="2"/>
          <w:lang w:eastAsia="pl-PL"/>
        </w:rPr>
        <w:t xml:space="preserve">Red. L. Haber, M. Niezgoda, </w:t>
      </w:r>
      <w:r>
        <w:rPr>
          <w:rFonts w:eastAsia="Times New Roman" w:cs="Calibri" w:cstheme="minorHAnsi"/>
          <w:bCs/>
          <w:i/>
          <w:color w:val="272727"/>
          <w:kern w:val="2"/>
          <w:lang w:eastAsia="pl-PL"/>
        </w:rPr>
        <w:t xml:space="preserve">Społeczeństwo informacyjne: </w:t>
      </w:r>
      <w:r>
        <w:rPr>
          <w:rFonts w:eastAsia="Times New Roman" w:cs="Calibri" w:cstheme="minorHAnsi"/>
          <w:bCs/>
          <w:i/>
          <w:color w:val="272727"/>
          <w:lang w:eastAsia="pl-PL"/>
        </w:rPr>
        <w:t>aspekty funkcjonalne i dysfunkcjonalne</w:t>
      </w:r>
      <w:r>
        <w:rPr>
          <w:rFonts w:eastAsia="Times New Roman" w:cs="Calibri" w:cstheme="minorHAnsi"/>
          <w:bCs/>
          <w:color w:val="272727"/>
          <w:lang w:eastAsia="pl-PL"/>
        </w:rPr>
        <w:t>, Wydawnictwo Uniwersytetu Jagiellońskiego, 2006.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textAlignment w:val="baseline"/>
        <w:outlineLvl w:val="0"/>
        <w:rPr>
          <w:rFonts w:eastAsia="Times New Roman" w:cs="Calibri" w:cstheme="minorHAnsi"/>
          <w:bCs/>
          <w:color w:val="272727"/>
          <w:lang w:eastAsia="pl-PL"/>
        </w:rPr>
      </w:pPr>
      <w:r>
        <w:rPr>
          <w:rFonts w:eastAsia="Times New Roman" w:cs="Calibri" w:cstheme="minorHAnsi"/>
          <w:bCs/>
          <w:color w:val="272727"/>
          <w:lang w:eastAsia="pl-PL"/>
        </w:rPr>
        <w:t xml:space="preserve">T. Goban-Klas, P. Sienkiewicz, </w:t>
      </w:r>
      <w:r>
        <w:rPr>
          <w:rFonts w:eastAsia="Times New Roman" w:cs="Calibri" w:cstheme="minorHAnsi"/>
          <w:bCs/>
          <w:i/>
          <w:color w:val="272727"/>
          <w:lang w:eastAsia="pl-PL"/>
        </w:rPr>
        <w:t xml:space="preserve">Społeczeństwo informacyjne: szanse, zagrożenia, wyzwania, </w:t>
      </w:r>
      <w:r>
        <w:rPr>
          <w:rFonts w:eastAsia="Times New Roman" w:cs="Calibri" w:cstheme="minorHAnsi"/>
          <w:bCs/>
          <w:color w:val="272727"/>
          <w:lang w:eastAsia="pl-PL"/>
        </w:rPr>
        <w:t>Kraków 1999.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textAlignment w:val="baseline"/>
        <w:outlineLvl w:val="0"/>
        <w:rPr>
          <w:rFonts w:eastAsia="Times New Roman" w:cs="Calibri" w:cstheme="minorHAnsi"/>
          <w:bCs/>
          <w:color w:val="272727"/>
          <w:kern w:val="2"/>
          <w:lang w:eastAsia="pl-PL"/>
        </w:rPr>
      </w:pPr>
      <w:r>
        <w:rPr>
          <w:rFonts w:eastAsia="Times New Roman" w:cs="Calibri" w:cstheme="minorHAnsi"/>
          <w:bCs/>
          <w:color w:val="272727"/>
          <w:lang w:eastAsia="pl-PL"/>
        </w:rPr>
        <w:t>M. Castells, Społeczeństwo sieci, Wydawnictwo Naukowe PWN, 2010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textAlignment w:val="baseline"/>
        <w:outlineLvl w:val="0"/>
        <w:rPr>
          <w:rFonts w:eastAsia="Times New Roman" w:cs="Calibri" w:cstheme="minorHAnsi"/>
          <w:bCs/>
          <w:color w:val="272727"/>
          <w:kern w:val="2"/>
          <w:lang w:eastAsia="pl-PL"/>
        </w:rPr>
      </w:pPr>
      <w:r>
        <w:rPr>
          <w:rFonts w:eastAsia="Times New Roman" w:cs="Calibri" w:cstheme="minorHAnsi"/>
          <w:bCs/>
          <w:color w:val="272727"/>
          <w:kern w:val="2"/>
          <w:lang w:eastAsia="pl-PL"/>
        </w:rPr>
        <w:t xml:space="preserve">K. Jurek, </w:t>
      </w:r>
      <w:r>
        <w:rPr>
          <w:rFonts w:eastAsia="Times New Roman" w:cs="Calibri" w:cstheme="minorHAnsi"/>
          <w:bCs/>
          <w:i/>
          <w:iCs/>
          <w:color w:val="272727"/>
          <w:kern w:val="2"/>
          <w:lang w:eastAsia="pl-PL"/>
        </w:rPr>
        <w:t>Nowy wymiar komunikacji. Właściwości społeczeństwa sieci w koncepcji M. Castellsa.</w:t>
      </w:r>
      <w:r>
        <w:rPr>
          <w:rFonts w:eastAsia="Times New Roman" w:cs="Calibri" w:cstheme="minorHAnsi"/>
          <w:bCs/>
          <w:color w:val="272727"/>
          <w:kern w:val="2"/>
          <w:lang w:eastAsia="pl-PL"/>
        </w:rPr>
        <w:t>)</w:t>
      </w:r>
    </w:p>
    <w:p>
      <w:pPr>
        <w:pStyle w:val="Normal"/>
        <w:spacing w:beforeAutospacing="1" w:afterAutospacing="1"/>
        <w:jc w:val="both"/>
        <w:rPr/>
      </w:pPr>
      <w:r>
        <w:rPr/>
        <w:t xml:space="preserve">M. Szpunar, </w:t>
      </w:r>
      <w:r>
        <w:rPr>
          <w:i/>
          <w:iCs/>
        </w:rPr>
        <w:t xml:space="preserve">Nowe-stare medium:  Internet między tworzeniem nowych modeli komunikacyjnych a reprodukowaniem schematów komunikowania masowego, </w:t>
      </w:r>
      <w:r>
        <w:rPr/>
        <w:t>Warszawa 2012</w:t>
      </w:r>
      <w:r>
        <w:rPr>
          <w:i/>
          <w:iCs/>
        </w:rPr>
        <w:t>.</w:t>
      </w:r>
    </w:p>
    <w:p>
      <w:pPr>
        <w:pStyle w:val="Normal"/>
        <w:spacing w:beforeAutospacing="1" w:afterAutospacing="1"/>
        <w:jc w:val="both"/>
        <w:rPr/>
      </w:pPr>
      <w:r>
        <w:rPr/>
        <w:t xml:space="preserve">D. McQuail  </w:t>
      </w:r>
      <w:r>
        <w:rPr>
          <w:i/>
          <w:iCs/>
        </w:rPr>
        <w:t xml:space="preserve">Teoria komunikowania masowego </w:t>
      </w:r>
      <w:r>
        <w:rPr/>
        <w:t>Warszawa 2008.</w:t>
      </w:r>
    </w:p>
    <w:p>
      <w:pPr>
        <w:pStyle w:val="Normal"/>
        <w:rPr>
          <w:b/>
          <w:b/>
        </w:rPr>
      </w:pPr>
      <w:r>
        <w:rPr>
          <w:b/>
        </w:rPr>
        <w:t>Pozostałe artykuły dotyczące omawianej problematyki.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 w:qFormat="1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574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f123d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123d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f123d2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f123d2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qFormat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B2A9-5356-4FF5-A1E2-01C84486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LibreOffice/7.2.6.2$Windows_X86_64 LibreOffice_project/b0ec3a565991f7569a5a7f5d24fed7f52653d754</Application>
  <AppVersion>15.0000</AppVersion>
  <Pages>3</Pages>
  <Words>517</Words>
  <Characters>3858</Characters>
  <CharactersWithSpaces>4231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2024-04-14T06:52:00Z</dcterms:created>
  <dc:creator>Anna Łukasiewicz</dc:creator>
  <dc:description/>
  <dc:language>pl-PL</dc:language>
  <cp:lastModifiedBy/>
  <cp:lastPrinted>2019-01-23T11:10:00Z</cp:lastPrinted>
  <dcterms:modified xsi:type="dcterms:W3CDTF">2024-04-26T09:27:05Z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