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</w:r>
    </w:p>
    <w:p>
      <w:pPr>
        <w:pStyle w:val="Normal"/>
        <w:jc w:val="center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KARTA PRZEDMIOTU</w:t>
      </w:r>
    </w:p>
    <w:p>
      <w:pPr>
        <w:pStyle w:val="Normal"/>
        <w:rPr>
          <w:rFonts w:cs="Calibri" w:cstheme="minorHAnsi"/>
          <w:b/>
          <w:b/>
          <w:bCs/>
          <w:color w:val="000000"/>
          <w:lang w:val="pl-PL"/>
        </w:rPr>
      </w:pPr>
      <w:r>
        <w:rPr>
          <w:rFonts w:cs="Calibri" w:cstheme="minorHAnsi"/>
          <w:b/>
          <w:bCs/>
          <w:color w:val="000000"/>
          <w:lang w:val="pl-PL"/>
        </w:rPr>
        <w:t>I. Dane podstawowe</w:t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Strategiczne proble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my współczesnego świata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en-US" w:eastAsia="en-US" w:bidi="ar-SA"/>
              </w:rPr>
              <w:t>Strategic proble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ms of the modern world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Stosunki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nauki o bezpieczeństwie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Iryna Pawlowska</w:t>
            </w:r>
          </w:p>
        </w:tc>
      </w:tr>
    </w:tbl>
    <w:p>
      <w:pPr>
        <w:pStyle w:val="Normal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</w:r>
    </w:p>
    <w:tbl>
      <w:tblPr>
        <w:tblStyle w:val="a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6978"/>
      </w:tblGrid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Podstawowa wiedza na temat współczesnych zagrożeń świecie</w:t>
            </w:r>
          </w:p>
        </w:tc>
      </w:tr>
    </w:tbl>
    <w:p>
      <w:pPr>
        <w:pStyle w:val="Normal"/>
        <w:rPr>
          <w:rFonts w:cs="Calibri" w:cstheme="minorHAnsi"/>
          <w:b/>
          <w:b/>
          <w:lang w:val="pl-PL"/>
        </w:rPr>
      </w:pPr>
      <w:r>
        <w:rPr>
          <w:rFonts w:cs="Calibri" w:cstheme="minorHAnsi"/>
          <w:b/>
          <w:lang w:val="pl-PL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C1 -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Zapoznanie studentów z najważniejszymi problemami stojącymi przed światem oraz strategiami ich rozwiązania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C2 -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Omówienie i charakterystyka głównych zagrożeń państwa o charakterze niemilitarnym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  <w:lang w:val="pl-PL"/>
        </w:rPr>
      </w:pPr>
      <w:r>
        <w:rPr>
          <w:rFonts w:cs="Calibri" w:cstheme="minorHAnsi"/>
          <w:b/>
          <w:lang w:val="pl-PL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posiada wiedzę z dziedziny nauk społecznych; kontekst zjawisk i procesów społecznych, przyczyn i skutków w ujęciu globalnym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zna i rozumie uwarunkowania bezpieczeństwa globalnego, systemów bezpieczeństwa międzynarodowego, w tym instytucji międzynarodowych w kontekście militarnych i niemilitarnych wyzwań o charakterze globalnym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potrafi wykorzystywać posiadaną, pogłębioną wiedzę teoretyczną do analizowania, diagnozowania, wyjaśniania oraz prognozowania kwestii szczegółowych odnoszących się do bezpieczenstwa na poziomie międzynarodowym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wykorzystywać pogłębioną wiedzę teoretyczną w rozwiązywaniu problemów związanych z bezpieczeństwem w wymiarze międzynarodowym w kontekście militarnych i niemilitarnych wyzwań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Absolwent jest gotów do myślenia i działania w sposób prospołeczny, w tym zarządzania ryzykiem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świadomy konieczności uwzględnienia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zasad etycznych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KK_06</w:t>
            </w:r>
          </w:p>
        </w:tc>
      </w:tr>
    </w:tbl>
    <w:p>
      <w:pPr>
        <w:pStyle w:val="Normal"/>
        <w:jc w:val="both"/>
        <w:rPr>
          <w:rFonts w:cs="Calibri" w:cstheme="minorHAnsi"/>
          <w:b/>
          <w:b/>
          <w:bCs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IV. Opis przedmiotu/ treści programowe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1.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>Bezpieczeństwo globalne.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2. Migracje i uchodźstwo.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3. 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>Zmiany klimatyczne i ich wpływ na światową stabilność i rozwój.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4. Międzynarodowa przestępczość zorganizowana.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5.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>Kryzysy zdrowotne i zarządzanie nimi.</w:t>
            </w:r>
            <w:r>
              <w:rPr>
                <w:rFonts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Choroby zakaźne i choroby cywilizacyjne.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cs="Calibri" w:cstheme="minorHAnsi"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6.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 xml:space="preserve">Nierówności społeczne i ekonomiczne. 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>Polityka handlowa i jej wpływ na rozwój gospodarczy i równość społeczną.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7. </w:t>
            </w:r>
            <w:r>
              <w:rPr>
                <w:rFonts w:eastAsia="RobotoCondensed-Bold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Rewolucja technologiczna.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RobotoCondensed-Bold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8. 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>Bezpieczeństwo energetyczne.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both"/>
              <w:rPr>
                <w:rFonts w:eastAsia="Times New Roman" w:cs="Calibri" w:cstheme="minorHAnsi"/>
                <w:color w:val="0D0D0D"/>
                <w:lang w:eastAsia="ru-RU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ru-RU" w:bidi="ar-SA"/>
              </w:rPr>
              <w:t>9.</w:t>
            </w:r>
            <w:r>
              <w:rPr>
                <w:rFonts w:eastAsia="Times New Roman" w:cs="Calibri" w:cstheme="minorHAnsi"/>
                <w:color w:val="0D0D0D"/>
                <w:kern w:val="0"/>
                <w:sz w:val="22"/>
                <w:szCs w:val="22"/>
                <w:lang w:val="pl-PL" w:eastAsia="ru-RU" w:bidi="ar-SA"/>
              </w:rPr>
              <w:t xml:space="preserve"> Prawa człowieka i demokracja w kontekście wyzwań globalnych.</w:t>
            </w:r>
          </w:p>
        </w:tc>
      </w:tr>
    </w:tbl>
    <w:p>
      <w:pPr>
        <w:pStyle w:val="Normal"/>
        <w:jc w:val="both"/>
        <w:rPr>
          <w:rFonts w:cs="Calibri" w:cstheme="minorHAnsi"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V. Metody realizacji i weryfikacji efektów uczenia się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Praca z tekstem/ dyskusja 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zespole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rPr>
          <w:rFonts w:cs="Calibri" w:cstheme="minorHAnsi"/>
          <w:b/>
          <w:b/>
          <w:bCs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VI. Kryteria oceny, wagi…</w:t>
      </w:r>
    </w:p>
    <w:p>
      <w:pPr>
        <w:pStyle w:val="Normal"/>
        <w:ind w:left="360" w:hanging="0"/>
        <w:rPr>
          <w:rFonts w:cs="Calibri" w:cstheme="minorHAnsi"/>
          <w:b/>
          <w:b/>
          <w:lang w:val="pl-PL"/>
        </w:rPr>
      </w:pPr>
      <w:r>
        <w:rPr>
          <w:rFonts w:cs="Calibri" w:cstheme="minorHAnsi"/>
          <w:b/>
          <w:lang w:val="pl-PL"/>
        </w:rPr>
        <w:t>Na pozytywną ocenę końcową składają się następujące elementy: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pl-PL" w:eastAsia="pl-PL"/>
        </w:rPr>
      </w:pPr>
      <w:r>
        <w:rPr>
          <w:rFonts w:cs="Calibri" w:cstheme="minorHAnsi"/>
          <w:lang w:val="pl-PL"/>
        </w:rPr>
        <w:t xml:space="preserve">Ocena w oparciu o </w:t>
      </w:r>
      <w:r>
        <w:rPr>
          <w:rFonts w:cs="Calibri" w:cstheme="minorHAnsi"/>
          <w:lang w:val="pl-PL" w:eastAsia="pl-PL"/>
        </w:rPr>
        <w:t xml:space="preserve">systematyczną </w:t>
      </w:r>
      <w:r>
        <w:rPr>
          <w:rFonts w:cs="Calibri" w:cstheme="minorHAnsi"/>
          <w:lang w:val="pl-PL"/>
        </w:rPr>
        <w:t xml:space="preserve">aktywność na zajęciach i przygotowanie do zajęć na podstawie proponowanej literatury </w:t>
      </w:r>
      <w:r>
        <w:rPr>
          <w:rFonts w:cs="Calibri" w:cstheme="minorHAnsi"/>
          <w:lang w:val="pl-PL" w:eastAsia="pl-PL"/>
        </w:rPr>
        <w:t>(30%)</w:t>
      </w:r>
      <w:r>
        <w:rPr>
          <w:rFonts w:cs="Calibri" w:cstheme="minorHAnsi"/>
          <w:lang w:val="uk-UA" w:eastAsia="pl-PL"/>
        </w:rPr>
        <w:t>,</w:t>
      </w:r>
      <w:r>
        <w:rPr>
          <w:rFonts w:cs="Calibri" w:cstheme="minorHAnsi"/>
          <w:lang w:val="pl-PL"/>
        </w:rPr>
        <w:t xml:space="preserve"> udział w omówieniu wystąpienia kolegów, zwłaszcza zadawanie pytań przez studentów (30%); referat/ prezentacja (do 20 minut) na temat zgłoszony przez studentkę/studenta i wygłoszony podczas zajęć (40%). Zaliczenie ustne.</w:t>
      </w:r>
    </w:p>
    <w:p>
      <w:pPr>
        <w:pStyle w:val="ListParagraph"/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Ocena niedostateczna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nie rozróżnia poszczególnych zagadnień oraz procesów w ramach przedmiotu, nie rozpoznaje i nie charakteryzuje występujących między nimi relacji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(U) -Student nie potrafi analizować i objaśniać  poszczególnych zagadnień oraz procesów w ramach przedmiotu i nie charakteryzuje występujących między nimi relacji 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 -Student wyraża bierną postawę w procesie samokształcenia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Ocena dostateczna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 rozróżnia niektóre zagadnienia oraz procesy w ramach przedmiotu, częściowo rozpoznaje i charakteryzuje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(U) -Student  potrafi analizować i objaśniać</w:t>
      </w:r>
      <w:bookmarkStart w:id="0" w:name="_GoBack"/>
      <w:bookmarkEnd w:id="0"/>
      <w:r>
        <w:rPr>
          <w:rFonts w:cs="Calibri" w:cstheme="minorHAnsi"/>
        </w:rPr>
        <w:t xml:space="preserve"> niektóre zagadnienia oraz procesy w ramach przedmiotu i częściowo charakteryzuje występujące między nimi relacje 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-Student stara się wyrażać aktywną postawę w procesie samokształcenia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Ocena dobra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 rozróżnia zagadnienia oraz procesy w ramach przedmiotu, rozpoznaje i charakteryzuje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 xml:space="preserve">(U) -Student  potrafi analizować i objaśniać zagadnienia oraz procesy w ramach przedmiotu i  charakteryzować  występujące między nimi relacje 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-Student wyraża  aktywną postawę w procesie samokształcenia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Ocena bardzo dobra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(W) -Student  rozróżnia wszystkie zagadnienia oraz procesy w ramach przedmiotu, bez trudu rozpoznaje i charakteryzuje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(U) -Student potrafi analizować i objaśniać wszystkie zagadnienia oraz procesy w ramach przedmiotu i bez trudu charakteryzować  występujące między nimi relacje</w:t>
      </w:r>
    </w:p>
    <w:p>
      <w:pPr>
        <w:pStyle w:val="ListParagraph"/>
        <w:ind w:left="0" w:hanging="0"/>
        <w:rPr>
          <w:rFonts w:cs="Calibri" w:cstheme="minorHAnsi"/>
        </w:rPr>
      </w:pPr>
      <w:r>
        <w:rPr>
          <w:rFonts w:cs="Calibri" w:cstheme="minorHAnsi"/>
        </w:rPr>
        <w:t>(K) -Student wyraża  aktywną postawę w procesie samokształcenia, posiada także świadomość procesu samokształcenia</w:t>
      </w:r>
      <w:r>
        <w:rPr>
          <w:rFonts w:cs="Calibri" w:cstheme="minorHAnsi"/>
          <w:color w:val="000000"/>
        </w:rPr>
        <w:br/>
      </w:r>
      <w:r>
        <w:rPr>
          <w:rFonts w:cs="Calibri" w:cstheme="minorHAnsi"/>
          <w:b/>
          <w:bCs/>
          <w:color w:val="000000"/>
        </w:rPr>
        <w:t>VII. Obciążenie pracą studenta</w:t>
      </w:r>
    </w:p>
    <w:tbl>
      <w:tblPr>
        <w:tblStyle w:val="a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rPr>
          <w:rFonts w:cs="Calibri" w:cstheme="minorHAnsi"/>
          <w:b/>
          <w:b/>
          <w:bCs/>
          <w:color w:val="000000"/>
          <w:lang w:val="pl-PL"/>
        </w:rPr>
      </w:pPr>
      <w:r>
        <w:rPr>
          <w:rFonts w:cs="Calibri" w:cstheme="minorHAnsi"/>
          <w:color w:val="000000"/>
          <w:lang w:val="pl-PL"/>
        </w:rPr>
        <w:br/>
      </w:r>
      <w:r>
        <w:rPr>
          <w:rFonts w:cs="Calibri" w:cstheme="minorHAnsi"/>
          <w:b/>
          <w:bCs/>
          <w:color w:val="000000"/>
          <w:lang w:val="pl-PL"/>
        </w:rPr>
        <w:t>VIII.</w:t>
        <w:tab/>
        <w:t>Literatura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P.D. Williams,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Studia bezpieczeństwa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Kraków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M. Pietraś (red.),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Międzynarodowe stosunki polityczne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Lublin 2021.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M. Borkowski, M. Stańczyk-Minkiewicz,I. Ziemkiewicz-Gawlik (red.),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Wyzwania i zagrożenia XXI wieku. Aspekty militarne i niemilitarne,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Poznań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RobotoCondensed-Bold" w:cs="Calibri" w:cstheme="minorHAnsi"/>
              </w:rPr>
            </w:pPr>
            <w:r>
              <w:rPr>
                <w:rFonts w:eastAsia="RobotoCondensed-Bold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T.R. Aleksandrowicz, </w:t>
            </w:r>
            <w:r>
              <w:rPr>
                <w:rFonts w:eastAsia="RobotoCondensed-Bold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Kluczowe megatrendy w bezpieczeństwie państwa w XXI wieku</w:t>
            </w:r>
            <w:r>
              <w:rPr>
                <w:rFonts w:eastAsia="RobotoCondensed-Bold" w:cs="Calibri" w:cstheme="minorHAnsi"/>
                <w:kern w:val="0"/>
                <w:sz w:val="22"/>
                <w:szCs w:val="22"/>
                <w:lang w:val="pl-PL" w:eastAsia="en-US" w:bidi="ar-SA"/>
              </w:rPr>
              <w:t>, Warszawa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Świat wobec wyzwań i zagrożeń w drugiej dekadzie XXI wieku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B. Panek, R. Stawicki (red.), Warszawa 2018.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Społeczno-polityczne wyzwania społeczności</w:t>
            </w: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, red. Ł. Scheffs, 2015.</w:t>
            </w:r>
          </w:p>
          <w:p>
            <w:pPr>
              <w:pStyle w:val="Tretekstu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R. Łoś, J. Regina-Zacharski, </w:t>
            </w:r>
            <w:r>
              <w:rPr>
                <w:rFonts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Współczesne konflikty zbrojne</w:t>
            </w:r>
            <w:r>
              <w:rPr>
                <w:rFonts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Warszawa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K. Pawłowski,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Spory i konflikty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międzynarodowe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 [w:]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Międzynarodowe stosunki polityczne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M. Pietraś (red.), Lublin 2021, s. 471-496.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P. Łuczuk,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Cyberwojna. Wojna bez amunicji?,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Krakow 2017.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M. Caparros, </w:t>
            </w:r>
            <w:r>
              <w:rPr>
                <w:rFonts w:eastAsia="Calibri" w:cs="Calibri" w:cstheme="minorHAnsi"/>
                <w:i/>
                <w:color w:val="000000"/>
                <w:kern w:val="0"/>
                <w:sz w:val="22"/>
                <w:szCs w:val="22"/>
                <w:lang w:val="pl-PL" w:eastAsia="en-US" w:bidi="ar-SA"/>
              </w:rPr>
              <w:t>Głód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, Wydawnictwo literackie, Warszawa 2016.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J. Wiśniewski, K. Żodź-Kuźnia,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Mocarstwa współczesnego świata. Problem przywództwa światowego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Poznań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S. Otok,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Geografia polityczna. Geopolityka-ekopolityka-globalistyka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RobotoCondensed-Bold"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J. Wasilewski, </w:t>
            </w:r>
            <w:r>
              <w:rPr>
                <w:rFonts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Zarys definicyjny cyberprzestrzeni</w:t>
            </w: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>, „Przegląd Bezpieczeństwa Wewnętrznego”, 2013 nr 9, s. 225-234.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eastAsia="Times New Roman" w:cs="Calibri" w:cstheme="minorHAnsi"/>
                <w:kern w:val="2"/>
                <w:lang w:eastAsia="pl-PL"/>
              </w:rPr>
            </w:pPr>
            <w:r>
              <w:rPr>
                <w:rFonts w:eastAsia="Times New Roman" w:cs="Calibri" w:cstheme="minorHAnsi"/>
                <w:kern w:val="2"/>
                <w:sz w:val="22"/>
                <w:szCs w:val="22"/>
                <w:lang w:val="pl-PL" w:eastAsia="pl-PL" w:bidi="ar-SA"/>
              </w:rPr>
              <w:t xml:space="preserve">A. Chwalba, </w:t>
            </w:r>
            <w:r>
              <w:rPr>
                <w:rFonts w:eastAsia="Times New Roman" w:cs="Calibri" w:cstheme="minorHAnsi"/>
                <w:i/>
                <w:kern w:val="2"/>
                <w:sz w:val="22"/>
                <w:szCs w:val="22"/>
                <w:lang w:val="pl-PL" w:eastAsia="pl-PL" w:bidi="ar-SA"/>
              </w:rPr>
              <w:t>Historia powszechna 1989-2011</w:t>
            </w:r>
            <w:r>
              <w:rPr>
                <w:rFonts w:eastAsia="Times New Roman" w:cs="Calibri" w:cstheme="minorHAnsi"/>
                <w:kern w:val="2"/>
                <w:sz w:val="22"/>
                <w:szCs w:val="22"/>
                <w:lang w:val="pl-PL" w:eastAsia="pl-PL" w:bidi="ar-SA"/>
              </w:rPr>
              <w:t>, Warszawa 2015.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A. Hrynkiewicz,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Zagrożenia cywilizacji,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Kraków 2002.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eastAsia="Times New Roman" w:cs="Calibri" w:cstheme="minorHAnsi"/>
                <w:kern w:val="2"/>
                <w:lang w:eastAsia="pl-PL"/>
              </w:rPr>
            </w:pPr>
            <w:r>
              <w:rPr>
                <w:rFonts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“</w:t>
            </w:r>
            <w:r>
              <w:rPr>
                <w:rFonts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Czy istnieją konflikty etniczne i religijne?”,</w:t>
            </w: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w: Zaawansowane zapobieganie konfliktom, Wojciech Kostecki (ed.), Warszawa 2011, s.29–62.</w:t>
            </w:r>
          </w:p>
        </w:tc>
      </w:tr>
    </w:tbl>
    <w:p>
      <w:pPr>
        <w:pStyle w:val="Normal"/>
        <w:spacing w:before="0" w:after="200"/>
        <w:rPr>
          <w:rFonts w:cs="Calibri" w:cstheme="minorHAnsi"/>
          <w:color w:val="000000"/>
          <w:lang w:val="pl-PL"/>
        </w:rPr>
      </w:pPr>
      <w:r>
        <w:rPr/>
      </w:r>
    </w:p>
    <w:sectPr>
      <w:type w:val="nextPage"/>
      <w:pgSz w:w="11906" w:h="16838"/>
      <w:pgMar w:left="993" w:right="850" w:gutter="0" w:header="0" w:top="142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e91616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7"/>
    <w:qFormat/>
    <w:rsid w:val="004741a1"/>
    <w:rPr>
      <w:rFonts w:ascii="Calibri" w:hAnsi="Calibri" w:eastAsia="Calibri" w:cs="Calibri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4741a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a6"/>
    <w:qFormat/>
    <w:rsid w:val="004741a1"/>
    <w:pPr>
      <w:widowControl w:val="false"/>
      <w:suppressAutoHyphens w:val="true"/>
      <w:spacing w:lineRule="auto" w:line="240" w:before="0" w:after="140"/>
    </w:pPr>
    <w:rPr>
      <w:rFonts w:ascii="Calibri" w:hAnsi="Calibri" w:eastAsia="Calibri" w:cs="Calibri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e123d"/>
    <w:pPr>
      <w:spacing w:before="0" w:after="200"/>
      <w:ind w:left="720" w:hanging="0"/>
      <w:contextualSpacing/>
    </w:pPr>
    <w:rPr>
      <w:lang w:val="pl-PL"/>
    </w:rPr>
  </w:style>
  <w:style w:type="paragraph" w:styleId="NormalWeb">
    <w:name w:val="Normal (Web)"/>
    <w:basedOn w:val="Normal"/>
    <w:uiPriority w:val="99"/>
    <w:semiHidden/>
    <w:unhideWhenUsed/>
    <w:qFormat/>
    <w:rsid w:val="00e916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e91616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Standard" w:customStyle="1">
    <w:name w:val="Standard"/>
    <w:qFormat/>
    <w:rsid w:val="00e46bd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123d"/>
    <w:pPr>
      <w:spacing w:after="0" w:line="240" w:lineRule="auto"/>
    </w:pPr>
    <w:rPr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LibreOffice/7.2.6.2$Windows_X86_64 LibreOffice_project/b0ec3a565991f7569a5a7f5d24fed7f52653d754</Application>
  <AppVersion>15.0000</AppVersion>
  <Pages>5</Pages>
  <Words>864</Words>
  <Characters>6068</Characters>
  <CharactersWithSpaces>6786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2023-03-20T21:25:00Z</dcterms:created>
  <dc:creator>Irina</dc:creator>
  <dc:description/>
  <dc:language>pl-PL</dc:language>
  <cp:lastModifiedBy/>
  <dcterms:modified xsi:type="dcterms:W3CDTF">2024-04-25T20:07:45Z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