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0178" w:rsidRPr="001963F9" w:rsidRDefault="00E821E9">
      <w:pPr>
        <w:spacing w:line="240" w:lineRule="auto"/>
        <w:rPr>
          <w:rFonts w:ascii="Times New Roman" w:hAnsi="Times New Roman" w:cs="Times New Roman"/>
          <w:b/>
          <w:bCs/>
        </w:rPr>
      </w:pPr>
      <w:r w:rsidRPr="001963F9">
        <w:rPr>
          <w:rFonts w:ascii="Times New Roman" w:hAnsi="Times New Roman" w:cs="Times New Roman"/>
          <w:b/>
          <w:bCs/>
        </w:rPr>
        <w:t xml:space="preserve">KARTA PRZEDMIOTU </w:t>
      </w:r>
    </w:p>
    <w:p w:rsidR="00340178" w:rsidRPr="001963F9" w:rsidRDefault="00340178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340178" w:rsidRPr="001963F9" w:rsidRDefault="00E821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1963F9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6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19"/>
      </w:tblGrid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Literaturoznawstwo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Literary studies (seminar)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Kierunek </w:t>
            </w:r>
            <w:proofErr w:type="spellStart"/>
            <w:r w:rsidRPr="001963F9">
              <w:rPr>
                <w:rFonts w:ascii="Times New Roman" w:hAnsi="Times New Roman" w:cs="Times New Roman"/>
              </w:rPr>
              <w:t>studi</w:t>
            </w:r>
            <w:proofErr w:type="spellEnd"/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filologia angielska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Pr="001963F9">
              <w:rPr>
                <w:rFonts w:ascii="Times New Roman" w:hAnsi="Times New Roman" w:cs="Times New Roman"/>
              </w:rPr>
              <w:t>studi</w:t>
            </w:r>
            <w:proofErr w:type="spellEnd"/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II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it-IT"/>
              </w:rPr>
              <w:t>Forma studi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 xml:space="preserve">w (stacjonarne, </w:t>
            </w:r>
            <w:r w:rsidRPr="001963F9">
              <w:rPr>
                <w:rFonts w:ascii="Times New Roman" w:hAnsi="Times New Roman" w:cs="Times New Roman"/>
              </w:rPr>
              <w:t>niestacjonarne)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stacjonarne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literaturoznawstwo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Język angielski</w:t>
            </w:r>
          </w:p>
        </w:tc>
      </w:tr>
    </w:tbl>
    <w:p w:rsidR="00340178" w:rsidRPr="001963F9" w:rsidRDefault="0034017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63F9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1963F9">
              <w:rPr>
                <w:rFonts w:ascii="Times New Roman" w:hAnsi="Times New Roman" w:cs="Times New Roman"/>
                <w:lang w:val="de-DE"/>
              </w:rPr>
              <w:t xml:space="preserve"> hab. J. Teske, prof. KUL</w:t>
            </w:r>
          </w:p>
        </w:tc>
      </w:tr>
    </w:tbl>
    <w:p w:rsidR="00340178" w:rsidRPr="001963F9" w:rsidRDefault="00340178">
      <w:pPr>
        <w:widowControl w:val="0"/>
        <w:spacing w:after="0" w:line="240" w:lineRule="auto"/>
        <w:rPr>
          <w:rFonts w:ascii="Times New Roman" w:hAnsi="Times New Roman" w:cs="Times New Roman"/>
          <w:lang w:val="de-DE"/>
        </w:rPr>
      </w:pPr>
    </w:p>
    <w:tbl>
      <w:tblPr>
        <w:tblStyle w:val="TableNormal"/>
        <w:tblW w:w="906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1963F9" w:rsidP="001963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Punkty ECTS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wykł</w:t>
            </w:r>
            <w:r w:rsidRPr="001963F9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178" w:rsidRPr="001963F9" w:rsidRDefault="00E821E9" w:rsidP="0019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22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63F9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178" w:rsidRPr="001963F9" w:rsidRDefault="00340178">
            <w:pPr>
              <w:rPr>
                <w:rFonts w:ascii="Times New Roman" w:hAnsi="Times New Roman" w:cs="Times New Roman"/>
              </w:rPr>
            </w:pPr>
          </w:p>
        </w:tc>
      </w:tr>
    </w:tbl>
    <w:p w:rsidR="00340178" w:rsidRPr="001963F9" w:rsidRDefault="0034017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shd w:val="clear" w:color="auto" w:fill="FFFFFF"/>
              </w:rPr>
              <w:t xml:space="preserve">Poziom </w:t>
            </w:r>
            <w:proofErr w:type="spellStart"/>
            <w:r w:rsidRPr="001963F9">
              <w:rPr>
                <w:rFonts w:ascii="Times New Roman" w:hAnsi="Times New Roman" w:cs="Times New Roman"/>
                <w:shd w:val="clear" w:color="auto" w:fill="FFFFFF"/>
              </w:rPr>
              <w:t>jezyka</w:t>
            </w:r>
            <w:proofErr w:type="spellEnd"/>
            <w:r w:rsidRPr="001963F9">
              <w:rPr>
                <w:rFonts w:ascii="Times New Roman" w:hAnsi="Times New Roman" w:cs="Times New Roman"/>
                <w:shd w:val="clear" w:color="auto" w:fill="FFFFFF"/>
              </w:rPr>
              <w:t xml:space="preserve"> angielskiego B2+/C1. P</w:t>
            </w:r>
            <w:r w:rsidRPr="001963F9">
              <w:rPr>
                <w:rFonts w:ascii="Times New Roman" w:hAnsi="Times New Roman" w:cs="Times New Roman"/>
              </w:rPr>
              <w:t xml:space="preserve">odstawowe umiejętności analizy i interpretacji tekstu narracyjnego (terminologia, zasady interpretacji, itp.), podstawowa znajomość literatury anglojęzycznej. Podstawowe umiejętności w zakresie </w:t>
            </w:r>
            <w:r w:rsidRPr="001963F9">
              <w:rPr>
                <w:rFonts w:ascii="Times New Roman" w:hAnsi="Times New Roman" w:cs="Times New Roman"/>
                <w:i/>
                <w:iCs/>
                <w:lang w:val="en-US"/>
              </w:rPr>
              <w:t>academic writing.</w:t>
            </w:r>
          </w:p>
        </w:tc>
      </w:tr>
    </w:tbl>
    <w:p w:rsidR="00340178" w:rsidRPr="001963F9" w:rsidRDefault="00340178">
      <w:pPr>
        <w:widowControl w:val="0"/>
        <w:spacing w:after="0" w:line="240" w:lineRule="auto"/>
        <w:ind w:left="2" w:hanging="2"/>
        <w:rPr>
          <w:rFonts w:ascii="Times New Roman" w:hAnsi="Times New Roman" w:cs="Times New Roman"/>
        </w:rPr>
      </w:pPr>
    </w:p>
    <w:p w:rsidR="00340178" w:rsidRPr="001963F9" w:rsidRDefault="00E821E9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1963F9">
        <w:rPr>
          <w:rFonts w:ascii="Times New Roman" w:hAnsi="Times New Roman" w:cs="Times New Roman"/>
          <w:b/>
          <w:bCs/>
        </w:rPr>
        <w:t>Cele kszta</w:t>
      </w:r>
      <w:r w:rsidRPr="001963F9">
        <w:rPr>
          <w:rFonts w:ascii="Times New Roman" w:hAnsi="Times New Roman" w:cs="Times New Roman"/>
          <w:b/>
          <w:bCs/>
        </w:rPr>
        <w:t xml:space="preserve">łcenia dla przedmiotu </w:t>
      </w:r>
    </w:p>
    <w:tbl>
      <w:tblPr>
        <w:tblStyle w:val="TableNormal"/>
        <w:tblW w:w="906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C1 Podstawowy cel to napisanie przez każdego z uczestnik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seminarium pracy magisterskiej. Prace rozpatrują wybrane zagadnienia literaturoznawcze w obrębie tematyki seminarium.</w:t>
            </w:r>
          </w:p>
        </w:tc>
      </w:tr>
      <w:tr w:rsidR="00340178" w:rsidRP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C2 Zaawansowana znajomość literatury angielskiej oraz p</w:t>
            </w:r>
            <w:r w:rsidRPr="001963F9">
              <w:rPr>
                <w:rFonts w:ascii="Times New Roman" w:hAnsi="Times New Roman" w:cs="Times New Roman"/>
              </w:rPr>
              <w:t xml:space="preserve">roblematyki literaturoznawczej, oraz dobra znajomość problematyki metodologii nauk humanistycznych (w </w:t>
            </w:r>
            <w:proofErr w:type="spellStart"/>
            <w:r w:rsidRPr="001963F9">
              <w:rPr>
                <w:rFonts w:ascii="Times New Roman" w:hAnsi="Times New Roman" w:cs="Times New Roman"/>
              </w:rPr>
              <w:t>szczeg</w:t>
            </w:r>
            <w:proofErr w:type="spellEnd"/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1963F9">
              <w:rPr>
                <w:rFonts w:ascii="Times New Roman" w:hAnsi="Times New Roman" w:cs="Times New Roman"/>
              </w:rPr>
              <w:t>lności</w:t>
            </w:r>
            <w:proofErr w:type="spellEnd"/>
            <w:r w:rsidRPr="001963F9">
              <w:rPr>
                <w:rFonts w:ascii="Times New Roman" w:hAnsi="Times New Roman" w:cs="Times New Roman"/>
              </w:rPr>
              <w:t xml:space="preserve"> literaturoznawstwa).</w:t>
            </w:r>
          </w:p>
        </w:tc>
      </w:tr>
      <w:tr w:rsidR="00340178" w:rsidRP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C3 Umiejętność krytycznego czytania prac krytycznoliterackich oraz zdolność analizy i interpretacji tekst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literackic</w:t>
            </w:r>
            <w:r w:rsidRPr="001963F9">
              <w:rPr>
                <w:rFonts w:ascii="Times New Roman" w:hAnsi="Times New Roman" w:cs="Times New Roman"/>
              </w:rPr>
              <w:t>h.</w:t>
            </w:r>
          </w:p>
        </w:tc>
      </w:tr>
      <w:tr w:rsidR="00340178" w:rsidRP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C4 Dobra umiejętność  współpracy z innymi uczestnikami seminarium (tj. formułowania i korzystania z konstruktywnej krytyki), oraz dobre techniczne (warsztatowe) umiejętności pisania prac naukowych (</w:t>
            </w:r>
            <w:proofErr w:type="spellStart"/>
            <w:r w:rsidRPr="001963F9">
              <w:rPr>
                <w:rFonts w:ascii="Times New Roman" w:hAnsi="Times New Roman" w:cs="Times New Roman"/>
              </w:rPr>
              <w:t>wyb</w:t>
            </w:r>
            <w:proofErr w:type="spellEnd"/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 xml:space="preserve">r tematu, przygotowanie projektu, </w:t>
            </w:r>
            <w:proofErr w:type="spellStart"/>
            <w:r w:rsidRPr="001963F9">
              <w:rPr>
                <w:rFonts w:ascii="Times New Roman" w:hAnsi="Times New Roman" w:cs="Times New Roman"/>
              </w:rPr>
              <w:t>wyb</w:t>
            </w:r>
            <w:proofErr w:type="spellEnd"/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 xml:space="preserve">r metody, </w:t>
            </w:r>
            <w:r w:rsidRPr="001963F9">
              <w:rPr>
                <w:rFonts w:ascii="Times New Roman" w:hAnsi="Times New Roman" w:cs="Times New Roman"/>
              </w:rPr>
              <w:t>gromadzenie bibliografii, sporządzanie przypis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itd.) oraz przejrzystego i zwięzłego, logicznego i językowo poprawnego przedstawienia wynik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badań.</w:t>
            </w:r>
          </w:p>
        </w:tc>
      </w:tr>
    </w:tbl>
    <w:p w:rsidR="00340178" w:rsidRPr="001963F9" w:rsidRDefault="00340178">
      <w:pPr>
        <w:spacing w:after="0" w:line="240" w:lineRule="auto"/>
        <w:rPr>
          <w:rFonts w:ascii="Times New Roman" w:hAnsi="Times New Roman" w:cs="Times New Roman"/>
        </w:rPr>
      </w:pPr>
    </w:p>
    <w:p w:rsidR="00340178" w:rsidRPr="001963F9" w:rsidRDefault="00E821E9" w:rsidP="001963F9">
      <w:pPr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1963F9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1963F9">
        <w:rPr>
          <w:rFonts w:ascii="Times New Roman" w:hAnsi="Times New Roman" w:cs="Times New Roman"/>
          <w:b/>
          <w:bCs/>
          <w:lang w:val="es-ES_tradnl"/>
        </w:rPr>
        <w:t>ó</w:t>
      </w:r>
      <w:r w:rsidRPr="001963F9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88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5685"/>
        <w:gridCol w:w="2087"/>
      </w:tblGrid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178" w:rsidRPr="001963F9" w:rsidRDefault="00E821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178" w:rsidRPr="001963F9" w:rsidRDefault="00E82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Opis efektu </w:t>
            </w:r>
            <w:r w:rsidRPr="001963F9">
              <w:rPr>
                <w:rFonts w:ascii="Times New Roman" w:hAnsi="Times New Roman" w:cs="Times New Roman"/>
              </w:rPr>
              <w:t>przedmiotowego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178" w:rsidRPr="001963F9" w:rsidRDefault="00E82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WIEDZA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Student zna literaturę anglojęzyczną w zakresie objętym tematyką seminarium: wymienia autor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 xml:space="preserve">w i tytuły ich pracy, podaje charakterystykę tematyki i formy j tych prac oraz wyjaśnia podstawowe </w:t>
            </w:r>
            <w:r w:rsidRPr="001963F9">
              <w:rPr>
                <w:rFonts w:ascii="Times New Roman" w:hAnsi="Times New Roman" w:cs="Times New Roman"/>
              </w:rPr>
              <w:t>idee teorii literatury w zakresie objętym tematyką seminarium.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K_W07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Student wyjaśnia  problematykę metodologii badań głównych szkół badawczych w ramach literaturoznawstwa, charakteryzuje zaawansowane metody analizy i interpretacji różnych tekst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 xml:space="preserve">w </w:t>
            </w:r>
            <w:r w:rsidRPr="001963F9">
              <w:rPr>
                <w:rFonts w:ascii="Times New Roman" w:hAnsi="Times New Roman" w:cs="Times New Roman"/>
              </w:rPr>
              <w:t>literackich oraz zasady konstruowania projekt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badawczych.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K_W02, K_W04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Student przedstawia i wyjaśnia zasady przywoływania myśli i słów  innych autor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K_W09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fr-FR"/>
              </w:rPr>
              <w:t>UMIEJ</w:t>
            </w:r>
            <w:r w:rsidRPr="001963F9">
              <w:rPr>
                <w:rFonts w:ascii="Times New Roman" w:hAnsi="Times New Roman" w:cs="Times New Roman"/>
              </w:rPr>
              <w:t>ĘTNOŚCI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Student formułuje z pomocą promotora problem badawczy, wybiera metod</w:t>
            </w:r>
            <w:r w:rsidRPr="001963F9">
              <w:rPr>
                <w:rFonts w:ascii="Times New Roman" w:hAnsi="Times New Roman" w:cs="Times New Roman"/>
              </w:rPr>
              <w:t xml:space="preserve">ę i wyszukuje odpowiedni materiał empiryczny, a następnie stosuje wybraną </w:t>
            </w:r>
            <w:r w:rsidRPr="001963F9">
              <w:rPr>
                <w:rFonts w:ascii="Times New Roman" w:hAnsi="Times New Roman" w:cs="Times New Roman"/>
                <w:lang w:val="es-ES_tradnl"/>
              </w:rPr>
              <w:t>metod</w:t>
            </w:r>
            <w:r w:rsidRPr="001963F9">
              <w:rPr>
                <w:rFonts w:ascii="Times New Roman" w:hAnsi="Times New Roman" w:cs="Times New Roman"/>
              </w:rPr>
              <w:t>ę w samodzielnej analizie.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K_U02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Student  posługuje się poprawnie literaturoznawczą </w:t>
            </w:r>
            <w:r w:rsidRPr="001963F9">
              <w:rPr>
                <w:rFonts w:ascii="Times New Roman" w:hAnsi="Times New Roman" w:cs="Times New Roman"/>
                <w:lang w:val="it-IT"/>
              </w:rPr>
              <w:t>terminologi</w:t>
            </w:r>
            <w:r w:rsidRPr="001963F9">
              <w:rPr>
                <w:rFonts w:ascii="Times New Roman" w:hAnsi="Times New Roman" w:cs="Times New Roman"/>
              </w:rPr>
              <w:t>ą w języku angielskim.  Precyzyjnie i logicznie posługuje się językiem akade</w:t>
            </w:r>
            <w:r w:rsidRPr="001963F9">
              <w:rPr>
                <w:rFonts w:ascii="Times New Roman" w:hAnsi="Times New Roman" w:cs="Times New Roman"/>
              </w:rPr>
              <w:t>mickim, przedstawiając swoje analizy i interpretacje współczesnej literatury, w tym wyniki swoich badań.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K_U04, K_U05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Student krytycznie czyta teksty krytycznoliterackie. Trafnie ocenia ich wartość naukową i uzasadnia tę ocenę.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K_U07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lastRenderedPageBreak/>
              <w:t>U_04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63F9">
              <w:rPr>
                <w:rFonts w:ascii="Times New Roman" w:hAnsi="Times New Roman" w:cs="Times New Roman"/>
              </w:rPr>
              <w:t>Strudent</w:t>
            </w:r>
            <w:proofErr w:type="spellEnd"/>
            <w:r w:rsidRPr="001963F9">
              <w:rPr>
                <w:rFonts w:ascii="Times New Roman" w:hAnsi="Times New Roman" w:cs="Times New Roman"/>
              </w:rPr>
              <w:t xml:space="preserve"> </w:t>
            </w:r>
            <w:r w:rsidRPr="001963F9">
              <w:rPr>
                <w:rFonts w:ascii="Times New Roman" w:hAnsi="Times New Roman" w:cs="Times New Roman"/>
              </w:rPr>
              <w:t>poszerza swoją wiedzę na temat literatury anglojęzycznej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K_U09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8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KOMPETENCJE SPOŁ</w:t>
            </w:r>
            <w:r w:rsidRPr="001963F9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Student wymienia się konstruktywnymi wskaz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1963F9">
              <w:rPr>
                <w:rFonts w:ascii="Times New Roman" w:hAnsi="Times New Roman" w:cs="Times New Roman"/>
              </w:rPr>
              <w:t>wkami</w:t>
            </w:r>
            <w:proofErr w:type="spellEnd"/>
            <w:r w:rsidRPr="001963F9">
              <w:rPr>
                <w:rFonts w:ascii="Times New Roman" w:hAnsi="Times New Roman" w:cs="Times New Roman"/>
              </w:rPr>
              <w:t xml:space="preserve"> dotyczącymi projekt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badawczych z innymi uczestnikami seminarium.  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K_K01, K_K02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Student szanuje zasady i </w:t>
            </w:r>
            <w:r w:rsidRPr="001963F9">
              <w:rPr>
                <w:rFonts w:ascii="Times New Roman" w:hAnsi="Times New Roman" w:cs="Times New Roman"/>
              </w:rPr>
              <w:t>normy etyczne obowiązujące w badaniach naukowych.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K_K06</w:t>
            </w:r>
          </w:p>
        </w:tc>
      </w:tr>
    </w:tbl>
    <w:p w:rsidR="00340178" w:rsidRPr="001963F9" w:rsidRDefault="00340178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</w:p>
    <w:p w:rsidR="00340178" w:rsidRPr="001963F9" w:rsidRDefault="00E821E9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1963F9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06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63F9">
              <w:rPr>
                <w:rFonts w:ascii="Times New Roman" w:hAnsi="Times New Roman" w:cs="Times New Roman"/>
                <w:b/>
                <w:bCs/>
                <w:lang w:val="en-US"/>
              </w:rPr>
              <w:t>Semestr</w:t>
            </w:r>
            <w:proofErr w:type="spellEnd"/>
            <w:r w:rsidRPr="001963F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I </w:t>
            </w:r>
            <w:r w:rsidRPr="001963F9">
              <w:rPr>
                <w:rFonts w:ascii="Times New Roman" w:hAnsi="Times New Roman" w:cs="Times New Roman"/>
              </w:rPr>
              <w:t xml:space="preserve">Wprowadzenie do kursu. Zapoznanie ze specyfiką pracy magisterskiej z dziedziny literaturoznawstwa. Ćwiczenia z warsztatu pisania pracy naukowej: </w:t>
            </w:r>
            <w:r w:rsidRPr="001963F9">
              <w:rPr>
                <w:rFonts w:ascii="Times New Roman" w:hAnsi="Times New Roman" w:cs="Times New Roman"/>
              </w:rPr>
              <w:t xml:space="preserve">problem plagiatu, kryteria oceny pracy naukowej, znaczenie metody naukowej i opisu stanu badań, zasady zbierania materiałów, organizacja pracy, itp. Ćwiczenia z parafrazowania i streszczania. Przegląd metod badawczych związanych z tematem seminarium. </w:t>
            </w:r>
            <w:proofErr w:type="spellStart"/>
            <w:r w:rsidRPr="001963F9">
              <w:rPr>
                <w:rFonts w:ascii="Times New Roman" w:hAnsi="Times New Roman" w:cs="Times New Roman"/>
              </w:rPr>
              <w:t>Wyb</w:t>
            </w:r>
            <w:proofErr w:type="spellEnd"/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r</w:t>
            </w:r>
            <w:r w:rsidRPr="001963F9">
              <w:rPr>
                <w:rFonts w:ascii="Times New Roman" w:hAnsi="Times New Roman" w:cs="Times New Roman"/>
              </w:rPr>
              <w:t xml:space="preserve"> tematu pracy dyplomowej.</w:t>
            </w:r>
          </w:p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b/>
                <w:bCs/>
              </w:rPr>
              <w:t xml:space="preserve">Semestr 2 </w:t>
            </w:r>
            <w:r w:rsidRPr="001963F9">
              <w:rPr>
                <w:rFonts w:ascii="Times New Roman" w:hAnsi="Times New Roman" w:cs="Times New Roman"/>
              </w:rPr>
              <w:t xml:space="preserve">Seminaria w tym semestrze </w:t>
            </w:r>
            <w:proofErr w:type="spellStart"/>
            <w:r w:rsidRPr="001963F9">
              <w:rPr>
                <w:rFonts w:ascii="Times New Roman" w:hAnsi="Times New Roman" w:cs="Times New Roman"/>
              </w:rPr>
              <w:t>poświę</w:t>
            </w:r>
            <w:proofErr w:type="spellEnd"/>
            <w:r w:rsidRPr="001963F9">
              <w:rPr>
                <w:rFonts w:ascii="Times New Roman" w:hAnsi="Times New Roman" w:cs="Times New Roman"/>
                <w:lang w:val="it-IT"/>
              </w:rPr>
              <w:t>cone s</w:t>
            </w:r>
            <w:r w:rsidRPr="001963F9">
              <w:rPr>
                <w:rFonts w:ascii="Times New Roman" w:hAnsi="Times New Roman" w:cs="Times New Roman"/>
              </w:rPr>
              <w:t>ą  analizie pierwszych (teoretycznych) rozdziałów prac pisanych przez uczestnik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seminarium oraz omawianiu teoretycznych zagadnień związanych ze szczegółowymi tematami prac wybranym</w:t>
            </w:r>
            <w:r w:rsidRPr="001963F9">
              <w:rPr>
                <w:rFonts w:ascii="Times New Roman" w:hAnsi="Times New Roman" w:cs="Times New Roman"/>
              </w:rPr>
              <w:t>i przez uczestnik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seminarium.</w:t>
            </w:r>
          </w:p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b/>
                <w:bCs/>
              </w:rPr>
              <w:t xml:space="preserve">Semestr 3 </w:t>
            </w:r>
            <w:r w:rsidRPr="001963F9">
              <w:rPr>
                <w:rFonts w:ascii="Times New Roman" w:hAnsi="Times New Roman" w:cs="Times New Roman"/>
              </w:rPr>
              <w:t xml:space="preserve">Seminaria w tym semestrze </w:t>
            </w:r>
            <w:proofErr w:type="spellStart"/>
            <w:r w:rsidRPr="001963F9">
              <w:rPr>
                <w:rFonts w:ascii="Times New Roman" w:hAnsi="Times New Roman" w:cs="Times New Roman"/>
              </w:rPr>
              <w:t>poświę</w:t>
            </w:r>
            <w:proofErr w:type="spellEnd"/>
            <w:r w:rsidRPr="001963F9">
              <w:rPr>
                <w:rFonts w:ascii="Times New Roman" w:hAnsi="Times New Roman" w:cs="Times New Roman"/>
                <w:lang w:val="it-IT"/>
              </w:rPr>
              <w:t>cone s</w:t>
            </w:r>
            <w:r w:rsidRPr="001963F9">
              <w:rPr>
                <w:rFonts w:ascii="Times New Roman" w:hAnsi="Times New Roman" w:cs="Times New Roman"/>
              </w:rPr>
              <w:t>ą  dyskusjom nad analizami/interpretacjami  tekst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i redakcją  drugich  rozdziałów prac pisanych przez uczestnik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seminarium oraz omawianiu innych zagadnień związanych ze szc</w:t>
            </w:r>
            <w:r w:rsidRPr="001963F9">
              <w:rPr>
                <w:rFonts w:ascii="Times New Roman" w:hAnsi="Times New Roman" w:cs="Times New Roman"/>
              </w:rPr>
              <w:t>zegółowymi tematami prac wybranymi przez uczestnik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seminarium.</w:t>
            </w:r>
          </w:p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b/>
                <w:bCs/>
              </w:rPr>
              <w:t xml:space="preserve">Semestr 4 </w:t>
            </w:r>
            <w:r w:rsidRPr="001963F9">
              <w:rPr>
                <w:rFonts w:ascii="Times New Roman" w:hAnsi="Times New Roman" w:cs="Times New Roman"/>
              </w:rPr>
              <w:t xml:space="preserve">Seminaria w tym semestrze </w:t>
            </w:r>
            <w:proofErr w:type="spellStart"/>
            <w:r w:rsidRPr="001963F9">
              <w:rPr>
                <w:rFonts w:ascii="Times New Roman" w:hAnsi="Times New Roman" w:cs="Times New Roman"/>
              </w:rPr>
              <w:t>poświę</w:t>
            </w:r>
            <w:proofErr w:type="spellEnd"/>
            <w:r w:rsidRPr="001963F9">
              <w:rPr>
                <w:rFonts w:ascii="Times New Roman" w:hAnsi="Times New Roman" w:cs="Times New Roman"/>
                <w:lang w:val="it-IT"/>
              </w:rPr>
              <w:t>cone s</w:t>
            </w:r>
            <w:r w:rsidRPr="001963F9">
              <w:rPr>
                <w:rFonts w:ascii="Times New Roman" w:hAnsi="Times New Roman" w:cs="Times New Roman"/>
              </w:rPr>
              <w:t>ą  dyskusjom nad analizami/interpretacjami  tekst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i redakcją  trzecich rozdziałów prac pisanych przez uczestnik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seminarium oraz omawianiu i</w:t>
            </w:r>
            <w:r w:rsidRPr="001963F9">
              <w:rPr>
                <w:rFonts w:ascii="Times New Roman" w:hAnsi="Times New Roman" w:cs="Times New Roman"/>
              </w:rPr>
              <w:t>nnych zagadnień związanych ze szczegółowymi tematami prac wybranymi przez uczestnik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seminarium. Pod koniec tego semestru studenci piszą wstęp, zakończenie,  streszczenie pracy w języku polskim, robią korektę całego tekstu włącznie z bibliografią.</w:t>
            </w:r>
          </w:p>
        </w:tc>
      </w:tr>
    </w:tbl>
    <w:p w:rsidR="00340178" w:rsidRPr="001963F9" w:rsidRDefault="00340178" w:rsidP="001963F9">
      <w:pPr>
        <w:widowControl w:val="0"/>
        <w:pBdr>
          <w:top w:val="nil"/>
        </w:pBdr>
        <w:spacing w:line="240" w:lineRule="auto"/>
        <w:ind w:left="1082"/>
        <w:rPr>
          <w:rFonts w:ascii="Times New Roman" w:hAnsi="Times New Roman" w:cs="Times New Roman"/>
        </w:rPr>
      </w:pPr>
    </w:p>
    <w:p w:rsidR="00340178" w:rsidRPr="001963F9" w:rsidRDefault="00E821E9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1963F9">
        <w:rPr>
          <w:rFonts w:ascii="Times New Roman" w:hAnsi="Times New Roman" w:cs="Times New Roman"/>
          <w:b/>
          <w:bCs/>
        </w:rPr>
        <w:t>Metody realizacji i weryfikacji efekt</w:t>
      </w:r>
      <w:r w:rsidRPr="001963F9">
        <w:rPr>
          <w:rFonts w:ascii="Times New Roman" w:hAnsi="Times New Roman" w:cs="Times New Roman"/>
          <w:b/>
          <w:bCs/>
          <w:lang w:val="es-ES_tradnl"/>
        </w:rPr>
        <w:t>ó</w:t>
      </w:r>
      <w:r w:rsidRPr="001963F9">
        <w:rPr>
          <w:rFonts w:ascii="Times New Roman" w:hAnsi="Times New Roman" w:cs="Times New Roman"/>
          <w:b/>
          <w:bCs/>
        </w:rPr>
        <w:t xml:space="preserve">w uczenia się </w:t>
      </w:r>
    </w:p>
    <w:tbl>
      <w:tblPr>
        <w:tblStyle w:val="TableNormal"/>
        <w:tblW w:w="906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178" w:rsidRPr="001963F9" w:rsidRDefault="00E82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178" w:rsidRPr="001963F9" w:rsidRDefault="00E821E9" w:rsidP="0019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Metody dydaktyczne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178" w:rsidRPr="001963F9" w:rsidRDefault="00E821E9" w:rsidP="0019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Metody weryfikacji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178" w:rsidRPr="001963F9" w:rsidRDefault="00E821E9" w:rsidP="00196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Sposoby dokumentacji</w:t>
            </w:r>
          </w:p>
        </w:tc>
      </w:tr>
      <w:tr w:rsidR="00340178" w:rsidRP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178" w:rsidRPr="001963F9" w:rsidRDefault="00E82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WIEDZA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Dyskusja</w:t>
            </w: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Praca z tekstem</w:t>
            </w: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Mini-wykład</w:t>
            </w: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Praca badawcza pod kierunkiem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Monitorowanie pracy pisemnej i informacja zwrotna od  prowadzącego </w:t>
            </w: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 </w:t>
            </w: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Odpowiedź ustna i informacja zwrotna od prowadzącego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Dokumentacja z kolejnych etap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pracy nad pracą magisterską przedstawiana przez student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 xml:space="preserve">w </w:t>
            </w:r>
          </w:p>
          <w:p w:rsidR="00340178" w:rsidRPr="001963F9" w:rsidRDefault="00340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Praca magisterska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lastRenderedPageBreak/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Praca badawcza </w:t>
            </w:r>
            <w:r w:rsidRPr="001963F9">
              <w:rPr>
                <w:rFonts w:ascii="Times New Roman" w:hAnsi="Times New Roman" w:cs="Times New Roman"/>
              </w:rPr>
              <w:t>pod kierunkiem</w:t>
            </w: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Mini-wykład</w:t>
            </w: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Monitorowanie pracy pisemnej i informacja zwrotna od  prowadzącego </w:t>
            </w: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 </w:t>
            </w: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Odpowiedź ustna i informacja zwrotna od prowadzącego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Dokumentacja z kolejnych etap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pracy nad pracą magisterską przedstawiana przez student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 xml:space="preserve">w </w:t>
            </w:r>
          </w:p>
          <w:p w:rsidR="00340178" w:rsidRPr="001963F9" w:rsidRDefault="00340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Prac</w:t>
            </w:r>
            <w:r w:rsidRPr="001963F9">
              <w:rPr>
                <w:rFonts w:ascii="Times New Roman" w:hAnsi="Times New Roman" w:cs="Times New Roman"/>
              </w:rPr>
              <w:t>a magisterska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7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Mini-wykład</w:t>
            </w: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Praca badawcza pod kierunkiem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Monitorowanie pracy pisemnej i informacja zwrotna od  prowadzącego </w:t>
            </w: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 </w:t>
            </w: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Odpowiedź ustna i informacja zwrotna od prowadzącego.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Dokumentacja z kolejnych etap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 xml:space="preserve">w pracy nad pracą magisterską </w:t>
            </w:r>
            <w:r w:rsidRPr="001963F9">
              <w:rPr>
                <w:rFonts w:ascii="Times New Roman" w:hAnsi="Times New Roman" w:cs="Times New Roman"/>
              </w:rPr>
              <w:t>przedstawiana przez student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 xml:space="preserve">w </w:t>
            </w:r>
          </w:p>
          <w:p w:rsidR="00340178" w:rsidRPr="001963F9" w:rsidRDefault="00340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Praca magisterska</w:t>
            </w:r>
          </w:p>
        </w:tc>
      </w:tr>
      <w:tr w:rsidR="00340178" w:rsidRP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178" w:rsidRPr="001963F9" w:rsidRDefault="00E82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fr-FR"/>
              </w:rPr>
              <w:t>UMIEJ</w:t>
            </w:r>
            <w:r w:rsidRPr="001963F9">
              <w:rPr>
                <w:rFonts w:ascii="Times New Roman" w:hAnsi="Times New Roman" w:cs="Times New Roman"/>
              </w:rPr>
              <w:t>ĘTNOŚCI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Mini-wykład</w:t>
            </w:r>
          </w:p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Praca badawcza pod kierunkiem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Monitorowanie pracy pisemnej i informacja zwrotna od  prowadzącego </w:t>
            </w: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 </w:t>
            </w:r>
          </w:p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Odpowiedź ustna i informacja zwrotna od prowadzącego.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Dokumentacja z </w:t>
            </w:r>
            <w:r w:rsidRPr="001963F9">
              <w:rPr>
                <w:rFonts w:ascii="Times New Roman" w:hAnsi="Times New Roman" w:cs="Times New Roman"/>
              </w:rPr>
              <w:t>kolejnych etap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pracy nad pracą magisterską przedstawiana przez student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 xml:space="preserve">w </w:t>
            </w:r>
          </w:p>
          <w:p w:rsidR="00340178" w:rsidRPr="001963F9" w:rsidRDefault="00340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Praca magisterska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Praca badawcza pod kierunkiem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Monitorowanie pracy pisemnej i informacja zwrotna od  prowadzącego </w:t>
            </w: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 </w:t>
            </w:r>
          </w:p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Odpowiedź ustna i informacja zwrotna od prowadzącego.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Dokumentacja z kolejnych etap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pracy nad pracą magisterską przedstawiana przez student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 xml:space="preserve">w </w:t>
            </w:r>
          </w:p>
          <w:p w:rsidR="00340178" w:rsidRPr="001963F9" w:rsidRDefault="00340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Praca magisterska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Dyskusja</w:t>
            </w:r>
          </w:p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Praca badawcza pod kierunkiem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Monitorowanie pracy pisemnej i informacja zwrotna od  prowadzącego </w:t>
            </w: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 </w:t>
            </w:r>
          </w:p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Odpowiedź ustna i informacja </w:t>
            </w:r>
            <w:r w:rsidRPr="001963F9">
              <w:rPr>
                <w:rFonts w:ascii="Times New Roman" w:hAnsi="Times New Roman" w:cs="Times New Roman"/>
              </w:rPr>
              <w:t>zwrotna od prowadzącego.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Dokumentacja z kolejnych etap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pracy nad pracą magisterską przedstawiana przez student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 xml:space="preserve">w </w:t>
            </w:r>
          </w:p>
          <w:p w:rsidR="00340178" w:rsidRPr="001963F9" w:rsidRDefault="00340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Praca magisterska</w:t>
            </w:r>
          </w:p>
        </w:tc>
      </w:tr>
      <w:tr w:rsidR="00340178" w:rsidRP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Dyskusja</w:t>
            </w:r>
          </w:p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Praca badawcza pod kierunkiem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Monitorowanie pracy pisemnej i informacja zwrotna od  prowadzącego </w:t>
            </w: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 </w:t>
            </w: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Odpowiedź ustna i informacja zwrotna od prowadzącego.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Dokumentacja z kolejnych etap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pracy nad pracą magisterską przedstawiana przez student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 xml:space="preserve">w </w:t>
            </w:r>
          </w:p>
          <w:p w:rsidR="00340178" w:rsidRPr="001963F9" w:rsidRDefault="00340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Praca magisterska</w:t>
            </w:r>
          </w:p>
        </w:tc>
      </w:tr>
    </w:tbl>
    <w:p w:rsidR="001963F9" w:rsidRDefault="001963F9"/>
    <w:p w:rsidR="001963F9" w:rsidRDefault="001963F9">
      <w:pPr>
        <w:spacing w:after="0" w:line="240" w:lineRule="auto"/>
      </w:pPr>
      <w:r>
        <w:br w:type="page"/>
      </w:r>
    </w:p>
    <w:tbl>
      <w:tblPr>
        <w:tblStyle w:val="TableNormal"/>
        <w:tblW w:w="906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340178" w:rsidRP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0178" w:rsidRPr="001963F9" w:rsidRDefault="00E82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lastRenderedPageBreak/>
              <w:t>KOMPETENCJE SPOŁ</w:t>
            </w:r>
            <w:r w:rsidRPr="001963F9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Monitorowanie pracy na seminarium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Dokumentacja z </w:t>
            </w:r>
            <w:r w:rsidRPr="001963F9">
              <w:rPr>
                <w:rFonts w:ascii="Times New Roman" w:hAnsi="Times New Roman" w:cs="Times New Roman"/>
              </w:rPr>
              <w:t>kolejnych etap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>w pracy nad pracą magisterską przedstawiana przez student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 xml:space="preserve">w </w:t>
            </w:r>
          </w:p>
          <w:p w:rsidR="00340178" w:rsidRPr="001963F9" w:rsidRDefault="003401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340178" w:rsidRP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Praca badawcza pod kierunkiem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Monitorowanie pracy pisemnej i informacja zwrotna od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Dokumentacja z kolejnych etap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 xml:space="preserve">w pracy nad pracą </w:t>
            </w:r>
            <w:r w:rsidRPr="001963F9">
              <w:rPr>
                <w:rFonts w:ascii="Times New Roman" w:hAnsi="Times New Roman" w:cs="Times New Roman"/>
              </w:rPr>
              <w:t>magisterską przedstawiana przez student</w:t>
            </w:r>
            <w:r w:rsidRPr="001963F9">
              <w:rPr>
                <w:rFonts w:ascii="Times New Roman" w:hAnsi="Times New Roman" w:cs="Times New Roman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</w:rPr>
              <w:t xml:space="preserve">w </w:t>
            </w:r>
          </w:p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Praca magisterska</w:t>
            </w:r>
          </w:p>
        </w:tc>
      </w:tr>
    </w:tbl>
    <w:p w:rsidR="00340178" w:rsidRPr="001963F9" w:rsidRDefault="00340178">
      <w:pPr>
        <w:spacing w:line="240" w:lineRule="auto"/>
        <w:ind w:left="1080"/>
        <w:rPr>
          <w:rFonts w:ascii="Times New Roman" w:hAnsi="Times New Roman" w:cs="Times New Roman"/>
          <w:b/>
          <w:bCs/>
        </w:rPr>
      </w:pPr>
    </w:p>
    <w:p w:rsidR="00340178" w:rsidRPr="001963F9" w:rsidRDefault="00E821E9">
      <w:pPr>
        <w:numPr>
          <w:ilvl w:val="0"/>
          <w:numId w:val="2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1963F9">
        <w:rPr>
          <w:rFonts w:ascii="Times New Roman" w:hAnsi="Times New Roman" w:cs="Times New Roman"/>
          <w:b/>
          <w:bCs/>
        </w:rPr>
        <w:t>Kryteria oceny, wagi…</w:t>
      </w:r>
    </w:p>
    <w:p w:rsidR="00340178" w:rsidRPr="001963F9" w:rsidRDefault="00E821E9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1963F9">
        <w:rPr>
          <w:rFonts w:ascii="Times New Roman" w:hAnsi="Times New Roman" w:cs="Times New Roman"/>
        </w:rPr>
        <w:t xml:space="preserve">Podstawowe kryteria oceny to aktywne uczestnictwo w seminarium, co oznacza realizację </w:t>
      </w:r>
      <w:r w:rsidRPr="001963F9">
        <w:rPr>
          <w:rFonts w:ascii="Times New Roman" w:hAnsi="Times New Roman" w:cs="Times New Roman"/>
          <w:lang w:val="es-ES_tradnl"/>
        </w:rPr>
        <w:t>zada</w:t>
      </w:r>
      <w:r w:rsidRPr="001963F9">
        <w:rPr>
          <w:rFonts w:ascii="Times New Roman" w:hAnsi="Times New Roman" w:cs="Times New Roman"/>
        </w:rPr>
        <w:t xml:space="preserve">ń wyznaczonych przez promotora, </w:t>
      </w:r>
      <w:proofErr w:type="spellStart"/>
      <w:r w:rsidRPr="001963F9">
        <w:rPr>
          <w:rFonts w:ascii="Times New Roman" w:hAnsi="Times New Roman" w:cs="Times New Roman"/>
        </w:rPr>
        <w:t>kt</w:t>
      </w:r>
      <w:proofErr w:type="spellEnd"/>
      <w:r w:rsidRPr="001963F9">
        <w:rPr>
          <w:rFonts w:ascii="Times New Roman" w:hAnsi="Times New Roman" w:cs="Times New Roman"/>
          <w:lang w:val="es-ES_tradnl"/>
        </w:rPr>
        <w:t>ó</w:t>
      </w:r>
      <w:r w:rsidRPr="001963F9">
        <w:rPr>
          <w:rFonts w:ascii="Times New Roman" w:hAnsi="Times New Roman" w:cs="Times New Roman"/>
        </w:rPr>
        <w:t xml:space="preserve">re mają przygotować </w:t>
      </w:r>
      <w:proofErr w:type="spellStart"/>
      <w:r w:rsidRPr="001963F9">
        <w:rPr>
          <w:rFonts w:ascii="Times New Roman" w:hAnsi="Times New Roman" w:cs="Times New Roman"/>
        </w:rPr>
        <w:t>seminarzyst</w:t>
      </w:r>
      <w:proofErr w:type="spellEnd"/>
      <w:r w:rsidRPr="001963F9">
        <w:rPr>
          <w:rFonts w:ascii="Times New Roman" w:hAnsi="Times New Roman" w:cs="Times New Roman"/>
          <w:lang w:val="es-ES_tradnl"/>
        </w:rPr>
        <w:t>ó</w:t>
      </w:r>
      <w:r w:rsidRPr="001963F9">
        <w:rPr>
          <w:rFonts w:ascii="Times New Roman" w:hAnsi="Times New Roman" w:cs="Times New Roman"/>
        </w:rPr>
        <w:t xml:space="preserve">w do pisania </w:t>
      </w:r>
      <w:r w:rsidRPr="001963F9">
        <w:rPr>
          <w:rFonts w:ascii="Times New Roman" w:hAnsi="Times New Roman" w:cs="Times New Roman"/>
        </w:rPr>
        <w:t xml:space="preserve">pracy magisterskiej, oraz praca nad własnym projektem badawczym. Ostatecznym warunkiem zaliczenia seminarium jest oddanie pracy magisterskiej na koniec  IV semestru. </w:t>
      </w:r>
    </w:p>
    <w:p w:rsidR="00340178" w:rsidRPr="001963F9" w:rsidRDefault="00E821E9">
      <w:pPr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1963F9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Liczba godzin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64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450</w:t>
            </w:r>
          </w:p>
        </w:tc>
      </w:tr>
    </w:tbl>
    <w:p w:rsidR="00340178" w:rsidRPr="001963F9" w:rsidRDefault="0034017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40178" w:rsidRPr="001963F9" w:rsidRDefault="00E821E9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1963F9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1963F9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63F9" w:rsidRPr="001963F9" w:rsidRDefault="001963F9" w:rsidP="001963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718"/>
                <w:u w:color="1A1718"/>
              </w:rPr>
            </w:pPr>
            <w:r w:rsidRPr="001963F9">
              <w:rPr>
                <w:rFonts w:ascii="Times New Roman" w:hAnsi="Times New Roman" w:cs="Times New Roman"/>
                <w:color w:val="1A1718"/>
                <w:u w:color="1A1718"/>
              </w:rPr>
              <w:t xml:space="preserve">Podana poniżej lista literatury, </w:t>
            </w:r>
            <w:proofErr w:type="spellStart"/>
            <w:r w:rsidRPr="001963F9">
              <w:rPr>
                <w:rFonts w:ascii="Times New Roman" w:hAnsi="Times New Roman" w:cs="Times New Roman"/>
                <w:color w:val="1A1718"/>
                <w:u w:color="1A1718"/>
              </w:rPr>
              <w:t>opr</w:t>
            </w:r>
            <w:proofErr w:type="spellEnd"/>
            <w:r w:rsidRPr="001963F9">
              <w:rPr>
                <w:rFonts w:ascii="Times New Roman" w:hAnsi="Times New Roman" w:cs="Times New Roman"/>
                <w:color w:val="1A1718"/>
                <w:u w:color="1A1718"/>
                <w:lang w:val="es-ES_tradnl"/>
              </w:rPr>
              <w:t>ó</w:t>
            </w:r>
            <w:proofErr w:type="spellStart"/>
            <w:r w:rsidRPr="001963F9">
              <w:rPr>
                <w:rFonts w:ascii="Times New Roman" w:hAnsi="Times New Roman" w:cs="Times New Roman"/>
                <w:color w:val="1A1718"/>
                <w:u w:color="1A1718"/>
              </w:rPr>
              <w:t>cz</w:t>
            </w:r>
            <w:proofErr w:type="spellEnd"/>
            <w:r w:rsidRPr="001963F9">
              <w:rPr>
                <w:rFonts w:ascii="Times New Roman" w:hAnsi="Times New Roman" w:cs="Times New Roman"/>
                <w:color w:val="1A1718"/>
                <w:u w:color="1A1718"/>
              </w:rPr>
              <w:t xml:space="preserve"> podręcznik</w:t>
            </w:r>
            <w:r w:rsidRPr="001963F9">
              <w:rPr>
                <w:rFonts w:ascii="Times New Roman" w:hAnsi="Times New Roman" w:cs="Times New Roman"/>
                <w:color w:val="1A1718"/>
                <w:u w:color="1A1718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  <w:color w:val="1A1718"/>
                <w:u w:color="1A1718"/>
              </w:rPr>
              <w:t xml:space="preserve">w pisania akademickiego, ma przykładowy charakter; </w:t>
            </w:r>
            <w:proofErr w:type="spellStart"/>
            <w:r w:rsidRPr="001963F9">
              <w:rPr>
                <w:rFonts w:ascii="Times New Roman" w:hAnsi="Times New Roman" w:cs="Times New Roman"/>
                <w:color w:val="1A1718"/>
                <w:u w:color="1A1718"/>
              </w:rPr>
              <w:t>dob</w:t>
            </w:r>
            <w:proofErr w:type="spellEnd"/>
            <w:r w:rsidRPr="001963F9">
              <w:rPr>
                <w:rFonts w:ascii="Times New Roman" w:hAnsi="Times New Roman" w:cs="Times New Roman"/>
                <w:color w:val="1A1718"/>
                <w:u w:color="1A1718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  <w:color w:val="1A1718"/>
                <w:u w:color="1A1718"/>
              </w:rPr>
              <w:t>r tekst</w:t>
            </w:r>
            <w:r w:rsidRPr="001963F9">
              <w:rPr>
                <w:rFonts w:ascii="Times New Roman" w:hAnsi="Times New Roman" w:cs="Times New Roman"/>
                <w:color w:val="1A1718"/>
                <w:u w:color="1A1718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  <w:color w:val="1A1718"/>
                <w:u w:color="1A1718"/>
              </w:rPr>
              <w:t>w zależy od problematyki seminarium w danym roku i temat</w:t>
            </w:r>
            <w:r w:rsidRPr="001963F9">
              <w:rPr>
                <w:rFonts w:ascii="Times New Roman" w:hAnsi="Times New Roman" w:cs="Times New Roman"/>
                <w:color w:val="1A1718"/>
                <w:u w:color="1A1718"/>
                <w:lang w:val="es-ES_tradnl"/>
              </w:rPr>
              <w:t>ó</w:t>
            </w:r>
            <w:r w:rsidRPr="001963F9">
              <w:rPr>
                <w:rFonts w:ascii="Times New Roman" w:hAnsi="Times New Roman" w:cs="Times New Roman"/>
                <w:color w:val="1A1718"/>
                <w:u w:color="1A1718"/>
              </w:rPr>
              <w:t>w prac magisterskich</w:t>
            </w:r>
          </w:p>
          <w:p w:rsidR="001963F9" w:rsidRPr="001963F9" w:rsidRDefault="001963F9" w:rsidP="001963F9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1A1718"/>
                <w:u w:color="1A1718"/>
              </w:rPr>
            </w:pPr>
          </w:p>
          <w:p w:rsidR="001963F9" w:rsidRPr="001963F9" w:rsidRDefault="001963F9" w:rsidP="001963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left="709" w:hanging="709"/>
              <w:jc w:val="both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Barry, Peter. Beginning Theory: An Introduction to Literary and Cultural Theory. Manchester: Manchester University Press, 1995.</w:t>
            </w:r>
          </w:p>
          <w:p w:rsidR="001963F9" w:rsidRPr="001963F9" w:rsidRDefault="001963F9" w:rsidP="001963F9">
            <w:pPr>
              <w:spacing w:after="0" w:line="240" w:lineRule="auto"/>
              <w:ind w:left="709" w:hanging="708"/>
              <w:jc w:val="both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Bradford, Richard. The Novel Now: Contemporary British Fiction. Malden: Blackwell Publishing, 2007.</w:t>
            </w:r>
          </w:p>
          <w:p w:rsidR="001963F9" w:rsidRPr="001963F9" w:rsidRDefault="001963F9" w:rsidP="001963F9">
            <w:pPr>
              <w:spacing w:after="0" w:line="240" w:lineRule="auto"/>
              <w:ind w:left="709" w:hanging="708"/>
              <w:jc w:val="both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 xml:space="preserve">Connor, Steven. The English Novel in History:1950-1995. London: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>, 2001.</w:t>
            </w:r>
          </w:p>
          <w:p w:rsidR="001963F9" w:rsidRPr="001963F9" w:rsidRDefault="001963F9" w:rsidP="001963F9">
            <w:pPr>
              <w:spacing w:after="0" w:line="240" w:lineRule="auto"/>
              <w:ind w:left="709" w:hanging="708"/>
              <w:jc w:val="both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Currie, Mark. Postmodern Narrative Theory. London: Macmillan, 1998.</w:t>
            </w:r>
          </w:p>
          <w:p w:rsidR="001963F9" w:rsidRPr="001963F9" w:rsidRDefault="001963F9" w:rsidP="0019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Gibaldi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>, J. MLA Handbook for Writers of Research Papers. New York, 2009.</w:t>
            </w:r>
          </w:p>
          <w:p w:rsidR="001963F9" w:rsidRPr="001963F9" w:rsidRDefault="001963F9" w:rsidP="001963F9">
            <w:pPr>
              <w:spacing w:after="0" w:line="240" w:lineRule="auto"/>
              <w:ind w:left="709" w:hanging="708"/>
              <w:jc w:val="both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Goring, Paul et al. Studying Literature: The Essential Companion. London: Arnold, 2001.</w:t>
            </w:r>
          </w:p>
          <w:p w:rsidR="001963F9" w:rsidRPr="001963F9" w:rsidRDefault="001963F9" w:rsidP="001963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Hawthorn, Jeremy. Studying the Novel. Bloomsbury. 2010 .</w:t>
            </w:r>
          </w:p>
          <w:p w:rsidR="001963F9" w:rsidRPr="001963F9" w:rsidRDefault="001963F9" w:rsidP="001963F9">
            <w:pPr>
              <w:spacing w:after="0" w:line="240" w:lineRule="auto"/>
              <w:ind w:left="709" w:hanging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Hayles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>, N. Katherine. Electronic Literature: New Horizons for the Literary. Notre Dame: University of Notre Dame Press, 2008.</w:t>
            </w:r>
            <w:bookmarkStart w:id="0" w:name="_GoBack"/>
            <w:bookmarkEnd w:id="0"/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ind w:left="709" w:hanging="708"/>
              <w:jc w:val="both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lastRenderedPageBreak/>
              <w:t xml:space="preserve">Herman, David, Manfred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Jahn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, and Marie-Laure Ryan, eds.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 Encyclopedia of Narrative Theory. London: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>, 2005.</w:t>
            </w:r>
          </w:p>
          <w:p w:rsidR="00340178" w:rsidRPr="001963F9" w:rsidRDefault="00E821E9">
            <w:pPr>
              <w:spacing w:after="0" w:line="240" w:lineRule="auto"/>
              <w:ind w:left="709" w:hanging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Hühn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 Peter, John Pier, Wolf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Schmid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, and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Jörg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Schönert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. Handbook of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Narratology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. Berlin: Walter de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Gruyter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>, 200</w:t>
            </w:r>
            <w:r w:rsidRPr="001963F9">
              <w:rPr>
                <w:rFonts w:ascii="Times New Roman" w:hAnsi="Times New Roman" w:cs="Times New Roman"/>
                <w:lang w:val="en-US"/>
              </w:rPr>
              <w:t xml:space="preserve">9. </w:t>
            </w:r>
          </w:p>
          <w:p w:rsidR="00340178" w:rsidRPr="001963F9" w:rsidRDefault="00E821E9">
            <w:pPr>
              <w:spacing w:after="0" w:line="240" w:lineRule="auto"/>
              <w:ind w:left="709" w:hanging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Hutcheon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, Linda. A Theory of Adaptation. New York: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>, 2006.</w:t>
            </w:r>
          </w:p>
          <w:p w:rsidR="00340178" w:rsidRPr="001963F9" w:rsidRDefault="00E821E9">
            <w:pPr>
              <w:spacing w:after="0" w:line="240" w:lineRule="auto"/>
              <w:ind w:left="709" w:hanging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Landow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>, George P. Hypertext 2.0: The Convergence of Contemporary Critical Theory and Technology. Baltimore: The Johns Hopkins University Press, 1997.</w:t>
            </w:r>
          </w:p>
          <w:p w:rsidR="00340178" w:rsidRPr="001963F9" w:rsidRDefault="00E821E9">
            <w:pPr>
              <w:spacing w:after="0" w:line="240" w:lineRule="auto"/>
              <w:ind w:left="709" w:hanging="708"/>
              <w:jc w:val="both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Lund, Hans. Text as Picture: Studi</w:t>
            </w:r>
            <w:r w:rsidRPr="001963F9">
              <w:rPr>
                <w:rFonts w:ascii="Times New Roman" w:hAnsi="Times New Roman" w:cs="Times New Roman"/>
                <w:lang w:val="en-US"/>
              </w:rPr>
              <w:t xml:space="preserve">es in the Literary Transformation of Pictures. Trans.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Kacke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Götrick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Lampeter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: The Edwin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Mellen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 Press, 1992.</w:t>
            </w:r>
          </w:p>
          <w:p w:rsidR="00340178" w:rsidRPr="001963F9" w:rsidRDefault="00E821E9">
            <w:pPr>
              <w:spacing w:after="0" w:line="240" w:lineRule="auto"/>
              <w:ind w:left="709" w:hanging="708"/>
              <w:jc w:val="both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 xml:space="preserve">McCloud, Scott. </w:t>
            </w:r>
            <w:r w:rsidRPr="001963F9">
              <w:rPr>
                <w:rFonts w:ascii="Times New Roman" w:hAnsi="Times New Roman" w:cs="Times New Roman"/>
                <w:i/>
                <w:iCs/>
                <w:lang w:val="en-US"/>
              </w:rPr>
              <w:t>Understanding Comics</w:t>
            </w:r>
            <w:r w:rsidRPr="001963F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963F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William Morrow &amp; Co</w:t>
            </w:r>
            <w:r w:rsidRPr="001963F9">
              <w:rPr>
                <w:rFonts w:ascii="Times New Roman" w:hAnsi="Times New Roman" w:cs="Times New Roman"/>
                <w:lang w:val="en-US"/>
              </w:rPr>
              <w:t>, 1994.</w:t>
            </w:r>
          </w:p>
          <w:p w:rsidR="00340178" w:rsidRPr="001963F9" w:rsidRDefault="00E821E9">
            <w:pPr>
              <w:spacing w:after="0" w:line="240" w:lineRule="auto"/>
              <w:ind w:left="709" w:hanging="708"/>
              <w:jc w:val="both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McFarlane, Brian. Novel to Film: An Introduction to the Theory of Adaptation. Oxfo</w:t>
            </w:r>
            <w:r w:rsidRPr="001963F9">
              <w:rPr>
                <w:rFonts w:ascii="Times New Roman" w:hAnsi="Times New Roman" w:cs="Times New Roman"/>
                <w:lang w:val="en-US"/>
              </w:rPr>
              <w:t>rd: Clarendon Press, 1996.</w:t>
            </w:r>
          </w:p>
          <w:p w:rsidR="00340178" w:rsidRPr="001963F9" w:rsidRDefault="00E821E9">
            <w:pPr>
              <w:spacing w:after="0" w:line="240" w:lineRule="auto"/>
              <w:ind w:left="709" w:hanging="708"/>
              <w:jc w:val="both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 xml:space="preserve">Morrison,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Jago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. Contemporary Fiction. London: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>, 2003.</w:t>
            </w:r>
          </w:p>
          <w:p w:rsidR="00340178" w:rsidRPr="001963F9" w:rsidRDefault="00E82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Mullan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>, John. How Novels Work. Oxford: Oxford University Press, 2006.  </w:t>
            </w:r>
          </w:p>
          <w:p w:rsidR="00340178" w:rsidRPr="001963F9" w:rsidRDefault="00E82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Rimmon-Kenan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Shlomith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. Narrative Fiction: Contemporary Poetics. London: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>, 1999.</w:t>
            </w:r>
          </w:p>
          <w:p w:rsidR="00340178" w:rsidRPr="001963F9" w:rsidRDefault="00E821E9">
            <w:pPr>
              <w:spacing w:after="0" w:line="240" w:lineRule="auto"/>
              <w:ind w:left="709" w:hanging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Rivkin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>, Julie and Michael Ryan, eds. Literary Theory: An Anthology Oxford: Blackwell, 1998.</w:t>
            </w:r>
          </w:p>
          <w:p w:rsidR="00340178" w:rsidRPr="001963F9" w:rsidRDefault="00E821E9">
            <w:pPr>
              <w:spacing w:after="0" w:line="240" w:lineRule="auto"/>
              <w:ind w:left="709" w:hanging="708"/>
              <w:jc w:val="both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Ryan, Marie-Laure. Avatars of Story. Minneapolis: University of Minnesota Press, 2006.</w:t>
            </w:r>
          </w:p>
          <w:p w:rsidR="00340178" w:rsidRPr="001963F9" w:rsidRDefault="00E821E9">
            <w:pPr>
              <w:spacing w:after="0" w:line="240" w:lineRule="auto"/>
              <w:ind w:left="709" w:hanging="7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Sawa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, Magdalena. “Your Encounter with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Ekphrasis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”,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Roczniki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Humanistyczne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 5 (5</w:t>
            </w:r>
            <w:r w:rsidRPr="001963F9">
              <w:rPr>
                <w:rFonts w:ascii="Times New Roman" w:hAnsi="Times New Roman" w:cs="Times New Roman"/>
                <w:lang w:val="en-US"/>
              </w:rPr>
              <w:t>7), 2009, 97-121.</w:t>
            </w:r>
          </w:p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Tew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>, Philip. The Contemporary British Novel. London: Continuum, 2004.</w:t>
            </w:r>
          </w:p>
          <w:p w:rsidR="00340178" w:rsidRPr="001963F9" w:rsidRDefault="00E821E9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Uspensky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, Boris. 1983. A Poetics of Composition. The Structure of the Artistic Text and Typology of a Compositional Form. Trans.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Valentina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Zavarin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 and Susan Wittig. </w:t>
            </w:r>
            <w:r w:rsidRPr="001963F9">
              <w:rPr>
                <w:rFonts w:ascii="Times New Roman" w:hAnsi="Times New Roman" w:cs="Times New Roman"/>
                <w:lang w:val="en-US"/>
              </w:rPr>
              <w:t>Berkley: University of California Press.</w:t>
            </w:r>
          </w:p>
        </w:tc>
      </w:tr>
      <w:tr w:rsidR="00340178" w:rsidRPr="001963F9" w:rsidT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</w:rPr>
              <w:t>Literatura uzupełniająca</w:t>
            </w:r>
          </w:p>
        </w:tc>
      </w:tr>
      <w:tr w:rsidR="00340178" w:rsidRPr="001963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0178" w:rsidRPr="001963F9" w:rsidRDefault="00E82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Bailey,  Stephen, Academic Writing: A Practical Guide for Students. London, 2004.</w:t>
            </w:r>
          </w:p>
          <w:p w:rsidR="00340178" w:rsidRPr="001963F9" w:rsidRDefault="00E82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 xml:space="preserve">Bateman JA. Text and image: a critical introduction to the visual-verbal divide. London: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</w:p>
          <w:p w:rsidR="00340178" w:rsidRPr="001963F9" w:rsidRDefault="00E82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Bradbury, Malcolm. The Modern British Novel. London: Penguin, 1994.</w:t>
            </w:r>
          </w:p>
          <w:p w:rsidR="00340178" w:rsidRPr="001963F9" w:rsidRDefault="00E82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3F9">
              <w:rPr>
                <w:rFonts w:ascii="Times New Roman" w:hAnsi="Times New Roman" w:cs="Times New Roman"/>
              </w:rPr>
              <w:t>Burzyń</w:t>
            </w:r>
            <w:r w:rsidRPr="001963F9">
              <w:rPr>
                <w:rFonts w:ascii="Times New Roman" w:hAnsi="Times New Roman" w:cs="Times New Roman"/>
                <w:lang w:val="en-US"/>
              </w:rPr>
              <w:t>ska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, Anna and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Micha</w:t>
            </w:r>
            <w:proofErr w:type="spellEnd"/>
            <w:r w:rsidRPr="001963F9">
              <w:rPr>
                <w:rFonts w:ascii="Times New Roman" w:hAnsi="Times New Roman" w:cs="Times New Roman"/>
              </w:rPr>
              <w:t>ł Paweł Markowski. Teorie Literatury XX wieku. Znak, 2006.</w:t>
            </w:r>
          </w:p>
          <w:p w:rsidR="00340178" w:rsidRPr="001963F9" w:rsidRDefault="00E821E9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 xml:space="preserve">Handbook of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Intermediality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. Literature – Image – Sound – Music. </w:t>
            </w:r>
            <w:r w:rsidRPr="001963F9">
              <w:rPr>
                <w:rFonts w:ascii="Times New Roman" w:hAnsi="Times New Roman" w:cs="Times New Roman"/>
                <w:lang w:val="de-DE"/>
              </w:rPr>
              <w:t xml:space="preserve">Ed. Gabriele Rippl. Berlin: De </w:t>
            </w:r>
            <w:proofErr w:type="spellStart"/>
            <w:r w:rsidRPr="001963F9">
              <w:rPr>
                <w:rFonts w:ascii="Times New Roman" w:hAnsi="Times New Roman" w:cs="Times New Roman"/>
                <w:lang w:val="de-DE"/>
              </w:rPr>
              <w:t>Gruyter</w:t>
            </w:r>
            <w:proofErr w:type="spellEnd"/>
            <w:r w:rsidRPr="001963F9">
              <w:rPr>
                <w:rFonts w:ascii="Times New Roman" w:hAnsi="Times New Roman" w:cs="Times New Roman"/>
                <w:lang w:val="de-DE"/>
              </w:rPr>
              <w:t xml:space="preserve"> 2</w:t>
            </w:r>
            <w:r w:rsidRPr="001963F9">
              <w:rPr>
                <w:rFonts w:ascii="Times New Roman" w:hAnsi="Times New Roman" w:cs="Times New Roman"/>
                <w:lang w:val="de-DE"/>
              </w:rPr>
              <w:t>015</w:t>
            </w:r>
          </w:p>
          <w:p w:rsidR="00340178" w:rsidRPr="001963F9" w:rsidRDefault="00E821E9">
            <w:pPr>
              <w:tabs>
                <w:tab w:val="center" w:pos="4536"/>
                <w:tab w:val="right" w:pos="904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de-DE"/>
              </w:rPr>
              <w:t xml:space="preserve">Kennedy, X. J. et al. </w:t>
            </w:r>
            <w:r w:rsidRPr="001963F9">
              <w:rPr>
                <w:rFonts w:ascii="Times New Roman" w:hAnsi="Times New Roman" w:cs="Times New Roman"/>
                <w:lang w:val="en-US"/>
              </w:rPr>
              <w:t>The Bedford Guide for College Writers. 5th ed. Boston.</w:t>
            </w:r>
          </w:p>
          <w:p w:rsidR="00340178" w:rsidRPr="001963F9" w:rsidRDefault="00E821E9">
            <w:pPr>
              <w:tabs>
                <w:tab w:val="center" w:pos="4536"/>
                <w:tab w:val="right" w:pos="904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Klarer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, Mario. An Introduction to Literary Studies. London: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>, 2006.</w:t>
            </w:r>
          </w:p>
          <w:p w:rsidR="00340178" w:rsidRPr="001963F9" w:rsidRDefault="00E821E9">
            <w:pPr>
              <w:tabs>
                <w:tab w:val="center" w:pos="4536"/>
                <w:tab w:val="right" w:pos="904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63F9">
              <w:rPr>
                <w:rFonts w:ascii="Times New Roman" w:hAnsi="Times New Roman" w:cs="Times New Roman"/>
                <w:lang w:val="en-US"/>
              </w:rPr>
              <w:t>Krieger, Murray. 1992. “</w:t>
            </w:r>
            <w:proofErr w:type="spellStart"/>
            <w:r w:rsidRPr="001963F9">
              <w:rPr>
                <w:rFonts w:ascii="Times New Roman" w:hAnsi="Times New Roman" w:cs="Times New Roman"/>
                <w:i/>
                <w:iCs/>
                <w:lang w:val="en-US"/>
              </w:rPr>
              <w:t>Ekphrasis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 and the Still Movement of Poetry; or </w:t>
            </w:r>
            <w:proofErr w:type="spellStart"/>
            <w:r w:rsidRPr="001963F9">
              <w:rPr>
                <w:rFonts w:ascii="Times New Roman" w:hAnsi="Times New Roman" w:cs="Times New Roman"/>
                <w:i/>
                <w:iCs/>
                <w:lang w:val="en-US"/>
              </w:rPr>
              <w:t>Laokoön</w:t>
            </w:r>
            <w:proofErr w:type="spellEnd"/>
            <w:r w:rsidRPr="001963F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1963F9">
              <w:rPr>
                <w:rFonts w:ascii="Times New Roman" w:hAnsi="Times New Roman" w:cs="Times New Roman"/>
                <w:lang w:val="en-US"/>
              </w:rPr>
              <w:t xml:space="preserve">Revisited” In     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Ekphrasis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>: The Illusion of the Natural Sign Baltimore: Johns Hopkins University Press</w:t>
            </w:r>
          </w:p>
          <w:p w:rsidR="00340178" w:rsidRPr="001963F9" w:rsidRDefault="00E82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Rennison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 xml:space="preserve">, Nick. Contemporary British Novelists. London: </w:t>
            </w:r>
            <w:proofErr w:type="spellStart"/>
            <w:r w:rsidRPr="001963F9">
              <w:rPr>
                <w:rFonts w:ascii="Times New Roman" w:hAnsi="Times New Roman" w:cs="Times New Roman"/>
                <w:lang w:val="en-US"/>
              </w:rPr>
              <w:t>Routledge</w:t>
            </w:r>
            <w:proofErr w:type="spellEnd"/>
            <w:r w:rsidRPr="001963F9">
              <w:rPr>
                <w:rFonts w:ascii="Times New Roman" w:hAnsi="Times New Roman" w:cs="Times New Roman"/>
                <w:lang w:val="en-US"/>
              </w:rPr>
              <w:t>, 2005.</w:t>
            </w:r>
          </w:p>
        </w:tc>
      </w:tr>
    </w:tbl>
    <w:p w:rsidR="00340178" w:rsidRPr="001963F9" w:rsidRDefault="00340178" w:rsidP="001963F9">
      <w:pPr>
        <w:widowControl w:val="0"/>
        <w:spacing w:line="240" w:lineRule="auto"/>
        <w:ind w:left="1082"/>
        <w:rPr>
          <w:rFonts w:ascii="Times New Roman" w:hAnsi="Times New Roman" w:cs="Times New Roman"/>
        </w:rPr>
      </w:pPr>
    </w:p>
    <w:sectPr w:rsidR="00340178" w:rsidRPr="001963F9">
      <w:headerReference w:type="default" r:id="rId8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1E9" w:rsidRDefault="00E821E9">
      <w:pPr>
        <w:spacing w:after="0" w:line="240" w:lineRule="auto"/>
      </w:pPr>
      <w:r>
        <w:separator/>
      </w:r>
    </w:p>
  </w:endnote>
  <w:endnote w:type="continuationSeparator" w:id="0">
    <w:p w:rsidR="00E821E9" w:rsidRDefault="00E8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1E9" w:rsidRDefault="00E821E9">
      <w:pPr>
        <w:spacing w:after="0" w:line="240" w:lineRule="auto"/>
      </w:pPr>
      <w:r>
        <w:separator/>
      </w:r>
    </w:p>
  </w:footnote>
  <w:footnote w:type="continuationSeparator" w:id="0">
    <w:p w:rsidR="00E821E9" w:rsidRDefault="00E8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78" w:rsidRDefault="00340178" w:rsidP="001963F9">
    <w:pPr>
      <w:tabs>
        <w:tab w:val="center" w:pos="4536"/>
        <w:tab w:val="right" w:pos="9046"/>
        <w:tab w:val="right" w:pos="904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9F"/>
    <w:multiLevelType w:val="hybridMultilevel"/>
    <w:tmpl w:val="92F8E1B6"/>
    <w:styleLink w:val="ImportedStyle4"/>
    <w:lvl w:ilvl="0" w:tplc="89F8651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4C07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B6311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A437D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F8BBE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68DA9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381C0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6CA1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DCA36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5A5568"/>
    <w:multiLevelType w:val="hybridMultilevel"/>
    <w:tmpl w:val="A18642FA"/>
    <w:styleLink w:val="ImportedStyle1"/>
    <w:lvl w:ilvl="0" w:tplc="DB3C0D0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68A88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9CF33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0A320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50C28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E0D9C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329F7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DCE28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2CAE3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24D58F4"/>
    <w:multiLevelType w:val="hybridMultilevel"/>
    <w:tmpl w:val="A18642FA"/>
    <w:numStyleLink w:val="ImportedStyle1"/>
  </w:abstractNum>
  <w:abstractNum w:abstractNumId="3">
    <w:nsid w:val="19EC3604"/>
    <w:multiLevelType w:val="hybridMultilevel"/>
    <w:tmpl w:val="D1183634"/>
    <w:styleLink w:val="ImportedStyle8"/>
    <w:lvl w:ilvl="0" w:tplc="D42AF49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C4DD8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CE0D7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82931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B23E1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FADFC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AA936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CECB0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2E64A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7B20129"/>
    <w:multiLevelType w:val="hybridMultilevel"/>
    <w:tmpl w:val="E2A80146"/>
    <w:numStyleLink w:val="ImportedStyle3"/>
  </w:abstractNum>
  <w:abstractNum w:abstractNumId="5">
    <w:nsid w:val="36EF1ABC"/>
    <w:multiLevelType w:val="hybridMultilevel"/>
    <w:tmpl w:val="93161C76"/>
    <w:styleLink w:val="ImportedStyle9"/>
    <w:lvl w:ilvl="0" w:tplc="4906DF3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2A369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6292E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E2DBD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00B7B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3A238A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6A1F9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4C748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A2B98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55936F8"/>
    <w:multiLevelType w:val="hybridMultilevel"/>
    <w:tmpl w:val="D1183634"/>
    <w:numStyleLink w:val="ImportedStyle8"/>
  </w:abstractNum>
  <w:abstractNum w:abstractNumId="7">
    <w:nsid w:val="48327CE9"/>
    <w:multiLevelType w:val="hybridMultilevel"/>
    <w:tmpl w:val="9026684C"/>
    <w:styleLink w:val="ImportedStyle7"/>
    <w:lvl w:ilvl="0" w:tplc="BD481B6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184E6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CEEB3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BC23E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296C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6CF0E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58047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D0E9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2AEB4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C5813D9"/>
    <w:multiLevelType w:val="hybridMultilevel"/>
    <w:tmpl w:val="92F8E1B6"/>
    <w:numStyleLink w:val="ImportedStyle4"/>
  </w:abstractNum>
  <w:abstractNum w:abstractNumId="9">
    <w:nsid w:val="54CA7E69"/>
    <w:multiLevelType w:val="hybridMultilevel"/>
    <w:tmpl w:val="242AEC50"/>
    <w:numStyleLink w:val="ImportedStyle6"/>
  </w:abstractNum>
  <w:abstractNum w:abstractNumId="10">
    <w:nsid w:val="5D3160DC"/>
    <w:multiLevelType w:val="hybridMultilevel"/>
    <w:tmpl w:val="242AEC50"/>
    <w:styleLink w:val="ImportedStyle6"/>
    <w:lvl w:ilvl="0" w:tplc="5ECAC9A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CC97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C2373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BAE91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7C9D5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E4D8A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48749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E4BB4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083EC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3A1627F"/>
    <w:multiLevelType w:val="hybridMultilevel"/>
    <w:tmpl w:val="E2A80146"/>
    <w:styleLink w:val="ImportedStyle3"/>
    <w:lvl w:ilvl="0" w:tplc="1E52B7D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68849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26A75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2079C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60D11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BAC3B2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96670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C6B4F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282D4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C6C39D8"/>
    <w:multiLevelType w:val="hybridMultilevel"/>
    <w:tmpl w:val="93161C76"/>
    <w:numStyleLink w:val="ImportedStyle9"/>
  </w:abstractNum>
  <w:abstractNum w:abstractNumId="13">
    <w:nsid w:val="7C90628F"/>
    <w:multiLevelType w:val="hybridMultilevel"/>
    <w:tmpl w:val="9026684C"/>
    <w:numStyleLink w:val="ImportedStyle7"/>
  </w:abstractNum>
  <w:num w:numId="1">
    <w:abstractNumId w:val="1"/>
  </w:num>
  <w:num w:numId="2">
    <w:abstractNumId w:val="2"/>
  </w:num>
  <w:num w:numId="3">
    <w:abstractNumId w:val="2"/>
    <w:lvlOverride w:ilvl="0">
      <w:lvl w:ilvl="0" w:tplc="65863200">
        <w:start w:val="1"/>
        <w:numFmt w:val="upperRoman"/>
        <w:lvlText w:val="%1."/>
        <w:lvlJc w:val="left"/>
        <w:pPr>
          <w:ind w:left="1082" w:hanging="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3460AC">
        <w:start w:val="1"/>
        <w:numFmt w:val="lowerLetter"/>
        <w:lvlText w:val="%2."/>
        <w:lvlJc w:val="left"/>
        <w:pPr>
          <w:ind w:left="144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9EFCC8">
        <w:start w:val="1"/>
        <w:numFmt w:val="lowerRoman"/>
        <w:lvlText w:val="%3."/>
        <w:lvlJc w:val="left"/>
        <w:pPr>
          <w:ind w:left="216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CEF600">
        <w:start w:val="1"/>
        <w:numFmt w:val="decimal"/>
        <w:lvlText w:val="%4."/>
        <w:lvlJc w:val="left"/>
        <w:pPr>
          <w:ind w:left="288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ACC44C">
        <w:start w:val="1"/>
        <w:numFmt w:val="lowerLetter"/>
        <w:lvlText w:val="%5."/>
        <w:lvlJc w:val="left"/>
        <w:pPr>
          <w:ind w:left="360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B0A078">
        <w:start w:val="1"/>
        <w:numFmt w:val="lowerRoman"/>
        <w:lvlText w:val="%6."/>
        <w:lvlJc w:val="left"/>
        <w:pPr>
          <w:ind w:left="432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185C78">
        <w:start w:val="1"/>
        <w:numFmt w:val="decimal"/>
        <w:lvlText w:val="%7."/>
        <w:lvlJc w:val="left"/>
        <w:pPr>
          <w:ind w:left="504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ECC5D2">
        <w:start w:val="1"/>
        <w:numFmt w:val="lowerLetter"/>
        <w:lvlText w:val="%8."/>
        <w:lvlJc w:val="left"/>
        <w:pPr>
          <w:ind w:left="57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58F022">
        <w:start w:val="1"/>
        <w:numFmt w:val="lowerRoman"/>
        <w:lvlText w:val="%9."/>
        <w:lvlJc w:val="left"/>
        <w:pPr>
          <w:ind w:left="648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4"/>
  </w:num>
  <w:num w:numId="6">
    <w:abstractNumId w:val="4"/>
    <w:lvlOverride w:ilvl="0">
      <w:startOverride w:val="2"/>
    </w:lvlOverride>
  </w:num>
  <w:num w:numId="7">
    <w:abstractNumId w:val="4"/>
    <w:lvlOverride w:ilvl="0">
      <w:lvl w:ilvl="0" w:tplc="DDA80CF2">
        <w:start w:val="1"/>
        <w:numFmt w:val="upperRoman"/>
        <w:lvlText w:val="%1."/>
        <w:lvlJc w:val="left"/>
        <w:pPr>
          <w:ind w:left="1082" w:hanging="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6CFCE4">
        <w:start w:val="1"/>
        <w:numFmt w:val="lowerLetter"/>
        <w:lvlText w:val="%2."/>
        <w:lvlJc w:val="left"/>
        <w:pPr>
          <w:ind w:left="144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9E6610">
        <w:start w:val="1"/>
        <w:numFmt w:val="lowerRoman"/>
        <w:lvlText w:val="%3."/>
        <w:lvlJc w:val="left"/>
        <w:pPr>
          <w:ind w:left="216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E2158C">
        <w:start w:val="1"/>
        <w:numFmt w:val="decimal"/>
        <w:lvlText w:val="%4."/>
        <w:lvlJc w:val="left"/>
        <w:pPr>
          <w:ind w:left="288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CE9424">
        <w:start w:val="1"/>
        <w:numFmt w:val="lowerLetter"/>
        <w:lvlText w:val="%5."/>
        <w:lvlJc w:val="left"/>
        <w:pPr>
          <w:ind w:left="360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8451D8">
        <w:start w:val="1"/>
        <w:numFmt w:val="lowerRoman"/>
        <w:lvlText w:val="%6."/>
        <w:lvlJc w:val="left"/>
        <w:pPr>
          <w:ind w:left="432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82DC1C">
        <w:start w:val="1"/>
        <w:numFmt w:val="decimal"/>
        <w:lvlText w:val="%7."/>
        <w:lvlJc w:val="left"/>
        <w:pPr>
          <w:ind w:left="504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98785E">
        <w:start w:val="1"/>
        <w:numFmt w:val="lowerLetter"/>
        <w:lvlText w:val="%8."/>
        <w:lvlJc w:val="left"/>
        <w:pPr>
          <w:ind w:left="57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EAB462">
        <w:start w:val="1"/>
        <w:numFmt w:val="lowerRoman"/>
        <w:lvlText w:val="%9."/>
        <w:lvlJc w:val="left"/>
        <w:pPr>
          <w:ind w:left="648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8"/>
  </w:num>
  <w:num w:numId="10">
    <w:abstractNumId w:val="8"/>
    <w:lvlOverride w:ilvl="0">
      <w:startOverride w:val="3"/>
    </w:lvlOverride>
  </w:num>
  <w:num w:numId="11">
    <w:abstractNumId w:val="10"/>
  </w:num>
  <w:num w:numId="12">
    <w:abstractNumId w:val="9"/>
  </w:num>
  <w:num w:numId="13">
    <w:abstractNumId w:val="9"/>
    <w:lvlOverride w:ilvl="0">
      <w:startOverride w:val="4"/>
    </w:lvlOverride>
  </w:num>
  <w:num w:numId="14">
    <w:abstractNumId w:val="9"/>
    <w:lvlOverride w:ilvl="0">
      <w:lvl w:ilvl="0" w:tplc="7B001A48">
        <w:start w:val="1"/>
        <w:numFmt w:val="upperRoman"/>
        <w:lvlText w:val="%1."/>
        <w:lvlJc w:val="left"/>
        <w:pPr>
          <w:ind w:left="1082" w:hanging="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4C8286">
        <w:start w:val="1"/>
        <w:numFmt w:val="lowerLetter"/>
        <w:lvlText w:val="%2."/>
        <w:lvlJc w:val="left"/>
        <w:pPr>
          <w:ind w:left="144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743C14">
        <w:start w:val="1"/>
        <w:numFmt w:val="lowerRoman"/>
        <w:lvlText w:val="%3."/>
        <w:lvlJc w:val="left"/>
        <w:pPr>
          <w:ind w:left="216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BAC754">
        <w:start w:val="1"/>
        <w:numFmt w:val="decimal"/>
        <w:lvlText w:val="%4."/>
        <w:lvlJc w:val="left"/>
        <w:pPr>
          <w:ind w:left="288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6A00E4">
        <w:start w:val="1"/>
        <w:numFmt w:val="lowerLetter"/>
        <w:lvlText w:val="%5."/>
        <w:lvlJc w:val="left"/>
        <w:pPr>
          <w:ind w:left="360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C41382">
        <w:start w:val="1"/>
        <w:numFmt w:val="lowerRoman"/>
        <w:lvlText w:val="%6."/>
        <w:lvlJc w:val="left"/>
        <w:pPr>
          <w:ind w:left="432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BCA352">
        <w:start w:val="1"/>
        <w:numFmt w:val="decimal"/>
        <w:lvlText w:val="%7."/>
        <w:lvlJc w:val="left"/>
        <w:pPr>
          <w:ind w:left="504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540512">
        <w:start w:val="1"/>
        <w:numFmt w:val="lowerLetter"/>
        <w:lvlText w:val="%8."/>
        <w:lvlJc w:val="left"/>
        <w:pPr>
          <w:ind w:left="57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D2DE18">
        <w:start w:val="1"/>
        <w:numFmt w:val="lowerRoman"/>
        <w:lvlText w:val="%9."/>
        <w:lvlJc w:val="left"/>
        <w:pPr>
          <w:ind w:left="648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</w:num>
  <w:num w:numId="16">
    <w:abstractNumId w:val="13"/>
  </w:num>
  <w:num w:numId="17">
    <w:abstractNumId w:val="13"/>
    <w:lvlOverride w:ilvl="0">
      <w:startOverride w:val="5"/>
    </w:lvlOverride>
  </w:num>
  <w:num w:numId="18">
    <w:abstractNumId w:val="13"/>
    <w:lvlOverride w:ilvl="0">
      <w:lvl w:ilvl="0" w:tplc="E0D4D25A">
        <w:start w:val="1"/>
        <w:numFmt w:val="upperRoman"/>
        <w:lvlText w:val="%1."/>
        <w:lvlJc w:val="left"/>
        <w:pPr>
          <w:ind w:left="1082" w:hanging="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10591E">
        <w:start w:val="1"/>
        <w:numFmt w:val="lowerLetter"/>
        <w:lvlText w:val="%2."/>
        <w:lvlJc w:val="left"/>
        <w:pPr>
          <w:ind w:left="144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D62542">
        <w:start w:val="1"/>
        <w:numFmt w:val="lowerRoman"/>
        <w:lvlText w:val="%3."/>
        <w:lvlJc w:val="left"/>
        <w:pPr>
          <w:ind w:left="216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E65CF8">
        <w:start w:val="1"/>
        <w:numFmt w:val="decimal"/>
        <w:lvlText w:val="%4."/>
        <w:lvlJc w:val="left"/>
        <w:pPr>
          <w:ind w:left="288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7C14">
        <w:start w:val="1"/>
        <w:numFmt w:val="lowerLetter"/>
        <w:lvlText w:val="%5."/>
        <w:lvlJc w:val="left"/>
        <w:pPr>
          <w:ind w:left="360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E84178">
        <w:start w:val="1"/>
        <w:numFmt w:val="lowerRoman"/>
        <w:lvlText w:val="%6."/>
        <w:lvlJc w:val="left"/>
        <w:pPr>
          <w:ind w:left="432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0031A4">
        <w:start w:val="1"/>
        <w:numFmt w:val="decimal"/>
        <w:lvlText w:val="%7."/>
        <w:lvlJc w:val="left"/>
        <w:pPr>
          <w:ind w:left="504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92C398">
        <w:start w:val="1"/>
        <w:numFmt w:val="lowerLetter"/>
        <w:lvlText w:val="%8."/>
        <w:lvlJc w:val="left"/>
        <w:pPr>
          <w:ind w:left="57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BE53CE">
        <w:start w:val="1"/>
        <w:numFmt w:val="lowerRoman"/>
        <w:lvlText w:val="%9."/>
        <w:lvlJc w:val="left"/>
        <w:pPr>
          <w:ind w:left="648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"/>
  </w:num>
  <w:num w:numId="20">
    <w:abstractNumId w:val="6"/>
  </w:num>
  <w:num w:numId="21">
    <w:abstractNumId w:val="6"/>
    <w:lvlOverride w:ilvl="0">
      <w:startOverride w:val="6"/>
    </w:lvlOverride>
  </w:num>
  <w:num w:numId="22">
    <w:abstractNumId w:val="6"/>
    <w:lvlOverride w:ilvl="0">
      <w:lvl w:ilvl="0" w:tplc="162032C6">
        <w:start w:val="1"/>
        <w:numFmt w:val="upperRoman"/>
        <w:lvlText w:val="%1."/>
        <w:lvlJc w:val="left"/>
        <w:pPr>
          <w:ind w:left="1082" w:hanging="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2CDC42">
        <w:start w:val="1"/>
        <w:numFmt w:val="lowerLetter"/>
        <w:lvlText w:val="%2."/>
        <w:lvlJc w:val="left"/>
        <w:pPr>
          <w:ind w:left="144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D08F158">
        <w:start w:val="1"/>
        <w:numFmt w:val="lowerRoman"/>
        <w:lvlText w:val="%3."/>
        <w:lvlJc w:val="left"/>
        <w:pPr>
          <w:ind w:left="216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66F09C">
        <w:start w:val="1"/>
        <w:numFmt w:val="decimal"/>
        <w:lvlText w:val="%4."/>
        <w:lvlJc w:val="left"/>
        <w:pPr>
          <w:ind w:left="288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266C24">
        <w:start w:val="1"/>
        <w:numFmt w:val="lowerLetter"/>
        <w:lvlText w:val="%5."/>
        <w:lvlJc w:val="left"/>
        <w:pPr>
          <w:ind w:left="360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4C8E5A">
        <w:start w:val="1"/>
        <w:numFmt w:val="lowerRoman"/>
        <w:lvlText w:val="%6."/>
        <w:lvlJc w:val="left"/>
        <w:pPr>
          <w:ind w:left="432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C8F60A">
        <w:start w:val="1"/>
        <w:numFmt w:val="decimal"/>
        <w:lvlText w:val="%7."/>
        <w:lvlJc w:val="left"/>
        <w:pPr>
          <w:ind w:left="504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10B972">
        <w:start w:val="1"/>
        <w:numFmt w:val="lowerLetter"/>
        <w:lvlText w:val="%8."/>
        <w:lvlJc w:val="left"/>
        <w:pPr>
          <w:ind w:left="57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048288">
        <w:start w:val="1"/>
        <w:numFmt w:val="lowerRoman"/>
        <w:lvlText w:val="%9."/>
        <w:lvlJc w:val="left"/>
        <w:pPr>
          <w:ind w:left="648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5"/>
  </w:num>
  <w:num w:numId="24">
    <w:abstractNumId w:val="12"/>
  </w:num>
  <w:num w:numId="25">
    <w:abstractNumId w:val="12"/>
    <w:lvlOverride w:ilvl="0">
      <w:startOverride w:val="8"/>
    </w:lvlOverride>
  </w:num>
  <w:num w:numId="26">
    <w:abstractNumId w:val="12"/>
    <w:lvlOverride w:ilvl="0">
      <w:lvl w:ilvl="0" w:tplc="A35EE382">
        <w:start w:val="1"/>
        <w:numFmt w:val="upperRoman"/>
        <w:lvlText w:val="%1."/>
        <w:lvlJc w:val="left"/>
        <w:pPr>
          <w:ind w:left="1082" w:hanging="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F82B2C">
        <w:start w:val="1"/>
        <w:numFmt w:val="lowerLetter"/>
        <w:lvlText w:val="%2."/>
        <w:lvlJc w:val="left"/>
        <w:pPr>
          <w:ind w:left="144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A10BF18">
        <w:start w:val="1"/>
        <w:numFmt w:val="lowerRoman"/>
        <w:lvlText w:val="%3."/>
        <w:lvlJc w:val="left"/>
        <w:pPr>
          <w:ind w:left="216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08F6DC">
        <w:start w:val="1"/>
        <w:numFmt w:val="decimal"/>
        <w:lvlText w:val="%4."/>
        <w:lvlJc w:val="left"/>
        <w:pPr>
          <w:ind w:left="288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066E8E">
        <w:start w:val="1"/>
        <w:numFmt w:val="lowerLetter"/>
        <w:lvlText w:val="%5."/>
        <w:lvlJc w:val="left"/>
        <w:pPr>
          <w:ind w:left="360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62FA6E">
        <w:start w:val="1"/>
        <w:numFmt w:val="lowerRoman"/>
        <w:lvlText w:val="%6."/>
        <w:lvlJc w:val="left"/>
        <w:pPr>
          <w:ind w:left="432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A40E4A">
        <w:start w:val="1"/>
        <w:numFmt w:val="decimal"/>
        <w:lvlText w:val="%7."/>
        <w:lvlJc w:val="left"/>
        <w:pPr>
          <w:ind w:left="504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66D2C8">
        <w:start w:val="1"/>
        <w:numFmt w:val="lowerLetter"/>
        <w:lvlText w:val="%8."/>
        <w:lvlJc w:val="left"/>
        <w:pPr>
          <w:ind w:left="57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FA00AE">
        <w:start w:val="1"/>
        <w:numFmt w:val="lowerRoman"/>
        <w:lvlText w:val="%9."/>
        <w:lvlJc w:val="left"/>
        <w:pPr>
          <w:ind w:left="6482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0178"/>
    <w:rsid w:val="001963F9"/>
    <w:rsid w:val="00340178"/>
    <w:rsid w:val="00E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numbering" w:customStyle="1" w:styleId="ImportedStyle8">
    <w:name w:val="Imported Style 8"/>
    <w:pPr>
      <w:numPr>
        <w:numId w:val="19"/>
      </w:numPr>
    </w:pPr>
  </w:style>
  <w:style w:type="numbering" w:customStyle="1" w:styleId="ImportedStyle9">
    <w:name w:val="Imported Style 9"/>
    <w:pPr>
      <w:numPr>
        <w:numId w:val="23"/>
      </w:numPr>
    </w:pPr>
  </w:style>
  <w:style w:type="paragraph" w:styleId="Nagwek">
    <w:name w:val="header"/>
    <w:basedOn w:val="Normalny"/>
    <w:link w:val="NagwekZnak"/>
    <w:uiPriority w:val="99"/>
    <w:unhideWhenUsed/>
    <w:rsid w:val="001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3F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3F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numbering" w:customStyle="1" w:styleId="ImportedStyle8">
    <w:name w:val="Imported Style 8"/>
    <w:pPr>
      <w:numPr>
        <w:numId w:val="19"/>
      </w:numPr>
    </w:pPr>
  </w:style>
  <w:style w:type="numbering" w:customStyle="1" w:styleId="ImportedStyle9">
    <w:name w:val="Imported Style 9"/>
    <w:pPr>
      <w:numPr>
        <w:numId w:val="23"/>
      </w:numPr>
    </w:pPr>
  </w:style>
  <w:style w:type="paragraph" w:styleId="Nagwek">
    <w:name w:val="header"/>
    <w:basedOn w:val="Normalny"/>
    <w:link w:val="NagwekZnak"/>
    <w:uiPriority w:val="99"/>
    <w:unhideWhenUsed/>
    <w:rsid w:val="001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3F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1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3F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2021-09-27T08:15:00Z</dcterms:created>
  <dcterms:modified xsi:type="dcterms:W3CDTF">2021-09-27T08:15:00Z</dcterms:modified>
</cp:coreProperties>
</file>