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A"/>
        <w:spacing w:lineRule="auto" w:line="276" w:beforeAutospacing="0" w:before="0" w:afterAutospacing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BodyA"/>
        <w:numPr>
          <w:ilvl w:val="0"/>
          <w:numId w:val="1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60"/>
        <w:gridCol w:w="5245"/>
      </w:tblGrid>
      <w:tr>
        <w:trPr>
          <w:trHeight w:val="630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</w:rPr>
              <w:t>Praktyczna nauka języka angielskiego – tłumaczenia pisemne angielsko-polskie</w:t>
            </w:r>
          </w:p>
        </w:tc>
      </w:tr>
      <w:tr>
        <w:trPr>
          <w:trHeight w:val="630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</w:rPr>
            </w:pPr>
            <w:r>
              <w:rPr>
                <w:rFonts w:eastAsia="Times New Roman" w:cs="Times New Roman" w:ascii="Times New Roman" w:hAnsi="Times New Roman"/>
                <w:kern w:val="2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kern w:val="2"/>
                <w:lang w:val="en-US"/>
              </w:rPr>
              <w:t>Practical English – English to Polish translation</w:t>
            </w:r>
          </w:p>
        </w:tc>
      </w:tr>
      <w:tr>
        <w:trPr>
          <w:trHeight w:val="41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Kierunek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Poziom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>
        <w:trPr>
          <w:trHeight w:val="530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Językoznawstwo, literaturoznawstwo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</w:tr>
    </w:tbl>
    <w:p>
      <w:pPr>
        <w:pStyle w:val="BodyA"/>
        <w:widowControl w:val="false"/>
        <w:numPr>
          <w:ilvl w:val="0"/>
          <w:numId w:val="17"/>
        </w:numPr>
        <w:spacing w:before="0" w:after="200"/>
        <w:rPr/>
      </w:pPr>
      <w:r>
        <w:rPr/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/>
      </w:pPr>
      <w:r>
        <w:rPr/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60"/>
        <w:gridCol w:w="5245"/>
      </w:tblGrid>
      <w:tr>
        <w:trPr>
          <w:trHeight w:val="545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mgr D. Gorbaczuk</w:t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98"/>
        <w:gridCol w:w="2081"/>
        <w:gridCol w:w="2081"/>
        <w:gridCol w:w="3345"/>
      </w:tblGrid>
      <w:tr>
        <w:trPr>
          <w:trHeight w:val="82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 zajęć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wykład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ćwiczenia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zajęcia terenowe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40"/>
        <w:gridCol w:w="7565"/>
      </w:tblGrid>
      <w:tr>
        <w:trPr>
          <w:trHeight w:val="545" w:hRule="atLeast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Poziom języka angielskiego nie niższy niż średniozaawansowany (B2).</w:t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numPr>
          <w:ilvl w:val="0"/>
          <w:numId w:val="18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06"/>
      </w:tblGrid>
      <w:tr>
        <w:trPr>
          <w:trHeight w:val="545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C1 Nabycie umiejętności krytycznego patrzenia na tekst i dekodowania przekazywanej przez niego wiadomości</w:t>
            </w:r>
          </w:p>
        </w:tc>
      </w:tr>
      <w:tr>
        <w:trPr>
          <w:trHeight w:val="509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C2 Nabycie umiejętności streszczania tekstu i sprowadzania go do słów kluczy</w:t>
            </w:r>
          </w:p>
        </w:tc>
      </w:tr>
      <w:tr>
        <w:trPr>
          <w:trHeight w:val="511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C3 Nabycie umiejętnoś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ci t</w:t>
            </w:r>
            <w:r>
              <w:rPr>
                <w:rFonts w:ascii="Times New Roman" w:hAnsi="Times New Roman"/>
                <w:sz w:val="22"/>
                <w:szCs w:val="22"/>
              </w:rPr>
              <w:t>łumaczenia zdań, fragment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tekstu i prostych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z języka angielskiego na język polski</w:t>
            </w:r>
          </w:p>
        </w:tc>
      </w:tr>
    </w:tbl>
    <w:p>
      <w:pPr>
        <w:pStyle w:val="BodyA"/>
        <w:widowControl w:val="false"/>
        <w:numPr>
          <w:ilvl w:val="0"/>
          <w:numId w:val="19"/>
        </w:numPr>
        <w:spacing w:before="0" w:after="200"/>
        <w:rPr/>
      </w:pPr>
      <w:r>
        <w:rPr/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/>
      </w:pPr>
      <w:r>
        <w:rPr/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BodyA"/>
        <w:numPr>
          <w:ilvl w:val="0"/>
          <w:numId w:val="20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W w:w="974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0"/>
        <w:gridCol w:w="5638"/>
        <w:gridCol w:w="3189"/>
      </w:tblGrid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Student wyjaśnia podstawowe pojęcia związane z tłumaczeniami pisemnymi, w tym te dotyczące poszanowania własności intelektualnej.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K_W01; K_W08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Student wskazuje na różnice między językami oraz tekstami w różnych językach na poziomie struktury zdania i doboru słownictwa.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K_W03</w:t>
            </w:r>
          </w:p>
        </w:tc>
      </w:tr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Student rozróżnia rejestry językowe tekst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w, na kt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rych pracuje.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K_W06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Student streszcza stosunkowo długie teksty dotyczące różnorodnej tematyki.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K_U04; K_U05; K_U06; K_U08; K_U09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Student poprawnie tłumaczy </w:t>
            </w:r>
            <w:r>
              <w:rPr>
                <w:rFonts w:ascii="Times New Roman" w:hAnsi="Times New Roman"/>
                <w:sz w:val="22"/>
                <w:szCs w:val="22"/>
              </w:rPr>
              <w:t>zdania, fragmenty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i proste teksty z języka angielskiego na język polski, zachowując odpowiedni rejestr.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K_U04; K_U05; K_U06; K_U08; K_U09</w:t>
            </w:r>
          </w:p>
        </w:tc>
      </w:tr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Student współpracuje z partnerem/ grupą przy streszczaniu/ tłumaczeniu zróżnicowanych tekst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w.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K_U08; K_U09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Student zachowuje otwartość na proponowane przez innych tłumaczenia oraz uwagi krytyczne dotyczące wykonanych przez niego prac.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K_K01; K_K02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Student wyciąga wnioski dotyczące zależnoś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ci 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ędzy jakością wykonanych prac a ich odbiorem przez osoby trzecie.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en-US"/>
              </w:rPr>
              <w:t>K_K01; K_K02; K_K03</w:t>
            </w:r>
          </w:p>
        </w:tc>
      </w:tr>
    </w:tbl>
    <w:p>
      <w:pPr>
        <w:pStyle w:val="BodyA"/>
        <w:widowControl w:val="false"/>
        <w:numPr>
          <w:ilvl w:val="0"/>
          <w:numId w:val="21"/>
        </w:numPr>
        <w:spacing w:before="0" w:after="200"/>
        <w:rPr/>
      </w:pPr>
      <w:r>
        <w:rPr/>
      </w:r>
    </w:p>
    <w:p>
      <w:pPr>
        <w:pStyle w:val="BodyA"/>
        <w:widowControl w:val="false"/>
        <w:spacing w:before="0" w:after="200"/>
        <w:ind w:left="393" w:right="0" w:hanging="0"/>
        <w:rPr/>
      </w:pPr>
      <w:r>
        <w:rPr/>
      </w:r>
    </w:p>
    <w:p>
      <w:pPr>
        <w:pStyle w:val="BodyA"/>
        <w:numPr>
          <w:ilvl w:val="0"/>
          <w:numId w:val="22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Opis przedmiotu/ treści programowe</w:t>
      </w:r>
    </w:p>
    <w:tbl>
      <w:tblPr>
        <w:tblW w:w="974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47"/>
      </w:tblGrid>
      <w:tr>
        <w:trPr>
          <w:trHeight w:val="751" w:hRule="atLeast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hd w:fill="auto" w:val="clear"/>
                <w:lang w:val="pl-PL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Przedmiotem kursu są praktyczne aspekty 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:lang w:val="pl-PL" w:eastAsia="en-GB" w:bidi="ar-SA"/>
              </w:rPr>
              <w:t>tłumaczeniowe,</w:t>
            </w:r>
            <w:r>
              <w:rPr>
                <w:rFonts w:ascii="Times New Roman" w:hAnsi="Times New Roman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 różnice między dwoma kodami językowymi w zakresie leksyki i gramatyki oraz wynikające z nich typowe błędy tłumaczeniowe.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hd w:fill="auto" w:val="clear"/>
                <w:lang w:val="pl-PL"/>
              </w:rPr>
            </w:pPr>
            <w:r>
              <w:rPr>
                <w:shd w:fill="auto" w:val="clear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Treści programowe: rola tłumacza;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pl-PL"/>
              </w:rPr>
              <w:t>streszczenie (sprowadzanie tekstu do słów klucz); analiza i synteza; techniki tłumaczeniowe; częste błędy;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:lang w:val="pl-PL"/>
              </w:rPr>
              <w:t xml:space="preserve"> tłumaczenia tekstów użytkowych. 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BodyA"/>
        <w:widowControl w:val="false"/>
        <w:numPr>
          <w:ilvl w:val="0"/>
          <w:numId w:val="23"/>
        </w:numPr>
        <w:spacing w:before="0" w:after="200"/>
        <w:rPr/>
      </w:pPr>
      <w:r>
        <w:rPr/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BodyA"/>
        <w:numPr>
          <w:ilvl w:val="0"/>
          <w:numId w:val="24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Fonts w:ascii="Times New Roman" w:hAnsi="Times New Roman"/>
          <w:b/>
          <w:bCs/>
          <w:sz w:val="22"/>
          <w:szCs w:val="22"/>
        </w:rPr>
        <w:t>w uczenia się</w:t>
      </w:r>
    </w:p>
    <w:tbl>
      <w:tblPr>
        <w:tblW w:w="974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0"/>
        <w:gridCol w:w="2460"/>
        <w:gridCol w:w="2965"/>
        <w:gridCol w:w="3401"/>
      </w:tblGrid>
      <w:tr>
        <w:trPr>
          <w:trHeight w:val="545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>
        <w:trPr>
          <w:trHeight w:val="271" w:hRule="atLeast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>
        <w:trPr>
          <w:trHeight w:val="99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Studium przypadku (case study)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Uzupełniony i oceniony test</w:t>
            </w:r>
          </w:p>
        </w:tc>
      </w:tr>
      <w:tr>
        <w:trPr>
          <w:trHeight w:val="99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Studium przypadku (case study)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Praca pisemna (tłumaczenie/ streszczenie)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Uzupełniony i oceniony test 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</w:tc>
      </w:tr>
      <w:tr>
        <w:trPr>
          <w:trHeight w:val="99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Studium przypadku (case study)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Praca pisemna (tłumaczenie/ streszczenie)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Uzupełniony i oceniony test 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</w:tc>
      </w:tr>
      <w:tr>
        <w:trPr>
          <w:trHeight w:val="271" w:hRule="atLeast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>
        <w:trPr>
          <w:trHeight w:val="97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indywidualna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Ćwiczenia praktyczne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pisemna (streszczenie)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Test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Uzupełniony i oceniony test</w:t>
            </w:r>
          </w:p>
        </w:tc>
      </w:tr>
      <w:tr>
        <w:trPr>
          <w:trHeight w:val="14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indywidualna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Burza m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zg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/ giełda pomysłó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Ćwiczenia praktyczne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pisemna (tłumaczenie)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Test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Uzupełniony i oceniony test</w:t>
            </w:r>
          </w:p>
        </w:tc>
      </w:tr>
      <w:tr>
        <w:trPr>
          <w:trHeight w:val="123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w parach/ 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pisemna (streszczenie/ tłumaczenie)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  <w:tr>
        <w:trPr>
          <w:trHeight w:val="271" w:hRule="atLeast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</w:tbl>
    <w:p>
      <w:pPr>
        <w:pStyle w:val="BodyA"/>
        <w:widowControl w:val="false"/>
        <w:numPr>
          <w:ilvl w:val="0"/>
          <w:numId w:val="25"/>
        </w:numPr>
        <w:spacing w:before="0" w:after="200"/>
        <w:rPr/>
      </w:pPr>
      <w:r>
        <w:rPr/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BodyA"/>
        <w:numPr>
          <w:ilvl w:val="0"/>
          <w:numId w:val="26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Kryteria oceny, wagi…</w:t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trakcie semestru studenci podchodzą do dwóch testów śródsemestralnych, pisanych w trakcie zajęć oraz otrzymują dwa zadania domowe. Zobowiązani są otrzymać z każdej z prac min. 60%. Zadania domowe muszą być oddane w terminie wskazanym przez prowadzącego, a ich brak skutkować będzie otrzymaniem wyniku ‘0’.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Dodatkowo ocenie podlega praca i aktywność na zajęciach.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 przypadku nieobecności studenta na teście śródsemestralnym, zobowiązany jest on do przedstawienia zwolnienia lekarskiego na dany dzień i podejścia do zaległego testu na pierwszych zajęciach po nieobecności lub w innym uzgodnionym terminie. W przypadku braku zwolnienia lekarskiego (i braku udokumentowanych okoliczności losowych) i/lub braku podejścia do testu w tym terminie, student otrzymuje wynik ‘0’.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przypadku uzyskania przez studenta łącznego wyniku poniżej 60%, (tj. z czterech wyżej wspomnianych komponentów), zobowiązany jest on do podejścia do poprawy. W przypadku braku poprawy i/lub wyniku łącznego poniżej 60%, student nie otrzymuje zaliczenia z przedmiotu.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Nie ma możliwości poprawy ocen pozytywnych.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Liczba dozwolonych nieobecności: 2 nieobecności nieusprawiedliwione.</w:t>
      </w:r>
    </w:p>
    <w:p>
      <w:pPr>
        <w:pStyle w:val="BodyA"/>
        <w:spacing w:lineRule="auto" w:line="276" w:before="0" w:after="200"/>
        <w:jc w:val="both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BodyA"/>
        <w:numPr>
          <w:ilvl w:val="0"/>
          <w:numId w:val="27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W w:w="87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59"/>
        <w:gridCol w:w="4340"/>
      </w:tblGrid>
      <w:tr>
        <w:trPr>
          <w:trHeight w:val="271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>
        <w:trPr>
          <w:trHeight w:val="570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</w:tbl>
    <w:p>
      <w:pPr>
        <w:pStyle w:val="BodyA"/>
        <w:widowControl w:val="false"/>
        <w:numPr>
          <w:ilvl w:val="0"/>
          <w:numId w:val="28"/>
        </w:numPr>
        <w:spacing w:before="0" w:after="200"/>
        <w:rPr/>
      </w:pPr>
      <w:r>
        <w:rPr/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/>
      </w:pPr>
      <w:r>
        <w:rPr/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BodyA"/>
        <w:numPr>
          <w:ilvl w:val="0"/>
          <w:numId w:val="29"/>
        </w:numPr>
        <w:bidi w:val="0"/>
        <w:spacing w:lineRule="auto" w:line="276" w:before="0" w:after="200"/>
        <w:ind w:left="1080" w:right="0" w:hanging="1080"/>
        <w:jc w:val="left"/>
        <w:rPr>
          <w:rFonts w:ascii="Times New Roman" w:hAnsi="Times New Roman"/>
          <w:b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</w:p>
    <w:tbl>
      <w:tblPr>
        <w:tblW w:w="888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880"/>
      </w:tblGrid>
      <w:tr>
        <w:trPr>
          <w:trHeight w:val="27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>
        <w:trPr>
          <w:trHeight w:val="99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647" w:type="dxa"/>
            </w:tcMar>
          </w:tcPr>
          <w:p>
            <w:pPr>
              <w:pStyle w:val="BodyA"/>
              <w:widowControl w:val="false"/>
              <w:tabs>
                <w:tab w:val="clear" w:pos="708"/>
                <w:tab w:val="left" w:pos="1418" w:leader="none"/>
              </w:tabs>
              <w:ind w:left="567" w:right="0" w:hanging="567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Macpherson, R. 2007. English for Writers and Translators. </w:t>
            </w:r>
            <w:r>
              <w:rPr>
                <w:rFonts w:ascii="Times New Roman" w:hAnsi="Times New Roman"/>
                <w:sz w:val="22"/>
                <w:szCs w:val="22"/>
              </w:rPr>
              <w:t>Warszawa: Wydawnictwo Naukowe PWN.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1418" w:leader="none"/>
              </w:tabs>
              <w:bidi w:val="0"/>
              <w:ind w:left="567" w:right="0" w:hanging="567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Belczyk, A. 2007. Poradnik tłumacza: z angielskiego na nasze. Krak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w: Wydawnictwo Idea.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r>
              <w:rPr>
                <w:rFonts w:ascii="Times New Roman" w:hAnsi="Times New Roman"/>
                <w:sz w:val="22"/>
                <w:szCs w:val="22"/>
              </w:rPr>
              <w:t>ły przygotowane przez nauczyciela.</w:t>
            </w:r>
          </w:p>
        </w:tc>
      </w:tr>
      <w:tr>
        <w:trPr>
          <w:trHeight w:val="460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Literatura uzupełniająca</w:t>
            </w:r>
          </w:p>
        </w:tc>
      </w:tr>
      <w:tr>
        <w:trPr>
          <w:trHeight w:val="27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Bassnett, S. 1991. Translation Studies. Revised edition. London and New York: Routledge.</w:t>
            </w:r>
          </w:p>
        </w:tc>
      </w:tr>
    </w:tbl>
    <w:p>
      <w:pPr>
        <w:pStyle w:val="BodyA"/>
        <w:widowControl w:val="false"/>
        <w:numPr>
          <w:ilvl w:val="0"/>
          <w:numId w:val="30"/>
        </w:numPr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5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0">
    <w:abstractNumId w:val="5"/>
    <w:lvlOverride w:ilvl="0">
      <w:startOverride w:val="3"/>
    </w:lvlOverride>
  </w:num>
  <w:num w:numId="21">
    <w:abstractNumId w:val="5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2">
    <w:abstractNumId w:val="7"/>
    <w:lvlOverride w:ilvl="0">
      <w:startOverride w:val="4"/>
    </w:lvlOverride>
  </w:num>
  <w:num w:numId="23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4">
    <w:abstractNumId w:val="9"/>
    <w:lvlOverride w:ilvl="0">
      <w:startOverride w:val="5"/>
    </w:lvlOverride>
  </w:num>
  <w:num w:numId="2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6">
    <w:abstractNumId w:val="11"/>
    <w:lvlOverride w:ilvl="0">
      <w:startOverride w:val="6"/>
    </w:lvlOverride>
  </w:num>
  <w:num w:numId="27">
    <w:abstractNumId w:val="12"/>
    <w:lvlOverride w:ilvl="0">
      <w:startOverride w:val="7"/>
    </w:lvlOverride>
  </w:num>
  <w:num w:numId="28">
    <w:abstractNumId w:val="12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9">
    <w:abstractNumId w:val="14"/>
    <w:lvlOverride w:ilvl="0">
      <w:startOverride w:val="8"/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22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GB" w:eastAsia="zh-CN" w:bidi="hi-IN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GB" w:eastAsia="zh-CN" w:bidi="hi-IN"/>
    </w:rPr>
  </w:style>
  <w:style w:type="paragraph" w:styleId="Stopka">
    <w:name w:val="Footer"/>
    <w:basedOn w:val="Gwkaistopka"/>
    <w:pPr/>
    <w:rPr/>
  </w:style>
  <w:style w:type="paragraph" w:styleId="V1gmailbody">
    <w:name w:val="v1gmail-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numbering" w:styleId="ImportedStyle7">
    <w:name w:val="Imported Style 7"/>
    <w:qFormat/>
  </w:style>
  <w:style w:type="numbering" w:styleId="ImportedStyle8">
    <w:name w:val="Imported Style 8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LibreOffice/7.0.3.1$Windows_X86_64 LibreOffice_project/d7547858d014d4cf69878db179d326fc3483e082</Application>
  <Pages>5</Pages>
  <Words>773</Words>
  <Characters>5198</Characters>
  <CharactersWithSpaces>5803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Mr Daniel Gorbaczuk</cp:lastModifiedBy>
  <cp:lastPrinted>2021-09-25T19:27:08Z</cp:lastPrinted>
  <dcterms:modified xsi:type="dcterms:W3CDTF">2021-09-25T20:22:46Z</dcterms:modified>
  <cp:revision>6</cp:revision>
  <dc:subject/>
  <dc:title/>
</cp:coreProperties>
</file>