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0292" w:rsidRDefault="00CE2AF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030292" w:rsidRDefault="00030292">
      <w:pPr>
        <w:rPr>
          <w:rFonts w:ascii="Times New Roman" w:eastAsia="Times New Roman" w:hAnsi="Times New Roman" w:cs="Times New Roman"/>
          <w:b/>
          <w:bCs/>
        </w:rPr>
      </w:pPr>
    </w:p>
    <w:p w:rsidR="00030292" w:rsidRDefault="00CE2AF3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ustne: podstawy warsztatu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  <w:lang w:val="en-US"/>
              </w:rPr>
              <w:t>Interpreting: Workshop Basics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 xml:space="preserve">Forma </w:t>
            </w:r>
            <w:r>
              <w:rPr>
                <w:rFonts w:ascii="Times New Roman" w:hAnsi="Times New Roman"/>
                <w:lang w:val="it-IT"/>
              </w:rPr>
              <w:t>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030292" w:rsidRDefault="0003029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Mgr Joanna Mirek</w:t>
            </w:r>
          </w:p>
        </w:tc>
      </w:tr>
    </w:tbl>
    <w:p w:rsidR="00030292" w:rsidRDefault="000302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 w:rsidP="00F46484">
            <w:pPr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F46484"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292" w:rsidRDefault="00CE2AF3" w:rsidP="00F464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92" w:rsidRDefault="00030292"/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II, III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92" w:rsidRDefault="00030292"/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92" w:rsidRDefault="00030292"/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92" w:rsidRDefault="00030292"/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92" w:rsidRDefault="00030292"/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92" w:rsidRDefault="00030292"/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92" w:rsidRDefault="00030292"/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92" w:rsidRDefault="00030292"/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92" w:rsidRDefault="00030292"/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92" w:rsidRDefault="00030292"/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92" w:rsidRDefault="00030292"/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030292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292" w:rsidRDefault="00030292"/>
        </w:tc>
      </w:tr>
    </w:tbl>
    <w:p w:rsidR="00030292" w:rsidRDefault="00030292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lastRenderedPageBreak/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Praktyczna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angielskiego (B2+/C1)</w:t>
            </w:r>
          </w:p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Zaawansowana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polskiego (C1)</w:t>
            </w:r>
          </w:p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umaczenia konsekutywnego </w:t>
            </w:r>
          </w:p>
          <w:p w:rsidR="00030292" w:rsidRDefault="00CE2AF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Zaawansowane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wyszukiwania informacji</w:t>
            </w:r>
          </w:p>
        </w:tc>
      </w:tr>
    </w:tbl>
    <w:p w:rsidR="00030292" w:rsidRDefault="0003029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30292" w:rsidRDefault="00CE2AF3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 xml:space="preserve">C1 Nabycie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proofErr w:type="spellEnd"/>
            <w:r>
              <w:rPr>
                <w:rFonts w:ascii="Times New Roman" w:hAnsi="Times New Roman"/>
                <w:lang w:val="it-IT"/>
              </w:rPr>
              <w:t>ci t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</w:t>
            </w:r>
            <w:proofErr w:type="spellEnd"/>
            <w:r>
              <w:rPr>
                <w:rFonts w:ascii="Times New Roman" w:hAnsi="Times New Roman"/>
              </w:rPr>
              <w:t xml:space="preserve"> konsekutywnego 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C2 Nabycie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analizy oraz streszczenia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ojczystym i obcym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C3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pracy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zakresach tematycznych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ojczystym i obcym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C4 Nabycie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stosowania technik notacji w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adzie konsekutywnym </w:t>
            </w:r>
          </w:p>
        </w:tc>
      </w:tr>
    </w:tbl>
    <w:p w:rsidR="00030292" w:rsidRDefault="00030292">
      <w:pPr>
        <w:spacing w:after="0"/>
        <w:rPr>
          <w:rFonts w:ascii="Times New Roman" w:eastAsia="Times New Roman" w:hAnsi="Times New Roman" w:cs="Times New Roman"/>
        </w:rPr>
      </w:pPr>
    </w:p>
    <w:p w:rsidR="00030292" w:rsidRDefault="00CE2AF3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884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685"/>
        <w:gridCol w:w="2087"/>
      </w:tblGrid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292" w:rsidRDefault="00CE2AF3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tu kierunkowego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identyfikuje techniki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umaczeniowe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dz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jach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i zadaniach translacyjnych.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ST_W01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Student rozpoznaje mechanizmy i problemy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 us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nego w parze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zykowej polski-angielski.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  <w:lang w:val="en-US"/>
              </w:rPr>
              <w:t>ST_W02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Student identyfikuje wp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yw kontekstu kulturowego i przyj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go sposobu wyra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ania tre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na proces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umaczenia.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  <w:lang w:val="en-US"/>
              </w:rPr>
              <w:t>ST_W03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Student u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ywa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ciwych technik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adu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o charakterze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lnym</w:t>
            </w:r>
            <w:proofErr w:type="spellEnd"/>
            <w:r>
              <w:rPr>
                <w:rFonts w:ascii="Times New Roman" w:hAnsi="Times New Roman"/>
              </w:rPr>
              <w:t xml:space="preserve"> i specjalistycznym.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ST_U01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Student wybiera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ciwe strategie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umaczeniowe na po</w:t>
            </w: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stawie samodzielnie przeprowadzonej analizy </w:t>
            </w:r>
            <w:r>
              <w:rPr>
                <w:rFonts w:ascii="Times New Roman" w:hAnsi="Times New Roman"/>
              </w:rPr>
              <w:t>tekstu.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  <w:lang w:val="en-US"/>
              </w:rPr>
              <w:t>ST_U02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Student komunikuje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przy wykorzystaniu terminologii sp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cjalistycznej za pomoc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kana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 xml:space="preserve">w komunikacyjnych.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  <w:lang w:val="en-US"/>
              </w:rPr>
              <w:t>ST_U03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Student zachowuje krytycyzm wobec jako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asnego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czenia, swoich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i wiedzy merytorycznej.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ST_K01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K_02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  <w:lang w:val="de-DE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lang w:val="de-DE"/>
              </w:rPr>
              <w:t>anga</w:t>
            </w:r>
            <w:proofErr w:type="spellEnd"/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uje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rozw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j swoich kompetencji w zakresie kompetencji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zykowych w kontek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umaczenia ustnego.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  <w:lang w:val="en-US"/>
              </w:rPr>
              <w:t>ST_K02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Student pracuje w zespole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umaczeniowym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rolach (t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umacz,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wca</w:t>
            </w:r>
            <w:proofErr w:type="spellEnd"/>
            <w:r>
              <w:rPr>
                <w:rFonts w:ascii="Times New Roman" w:hAnsi="Times New Roman"/>
              </w:rPr>
              <w:t>, adresat t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umaczenia) w </w:t>
            </w:r>
            <w:proofErr w:type="spellStart"/>
            <w:r>
              <w:rPr>
                <w:rFonts w:ascii="Times New Roman" w:hAnsi="Times New Roman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odpowi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dzialny i etyczny.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  <w:lang w:val="en-US"/>
              </w:rPr>
              <w:t xml:space="preserve">ST_K03 </w:t>
            </w:r>
          </w:p>
        </w:tc>
      </w:tr>
    </w:tbl>
    <w:p w:rsidR="00F46484" w:rsidRDefault="00F46484" w:rsidP="00F46484">
      <w:pPr>
        <w:pStyle w:val="Akapitzlist"/>
        <w:pBdr>
          <w:top w:val="nil"/>
        </w:pBdr>
        <w:ind w:left="1080"/>
        <w:rPr>
          <w:rFonts w:ascii="Times New Roman" w:hAnsi="Times New Roman"/>
          <w:b/>
          <w:bCs/>
        </w:rPr>
      </w:pPr>
    </w:p>
    <w:p w:rsidR="00030292" w:rsidRDefault="00CE2AF3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  <w:r>
        <w:rPr>
          <w:rFonts w:ascii="Times New Roman" w:hAnsi="Times New Roman"/>
          <w:b/>
          <w:bCs/>
          <w:color w:val="FF2600"/>
          <w:u w:color="FF2600"/>
        </w:rPr>
        <w:t xml:space="preserve"> </w:t>
      </w:r>
    </w:p>
    <w:tbl>
      <w:tblPr>
        <w:tblStyle w:val="TableNormal"/>
        <w:tblW w:w="8930" w:type="dxa"/>
        <w:tblInd w:w="8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8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030292" w:rsidRDefault="00CE2AF3">
            <w:pPr>
              <w:ind w:left="360"/>
            </w:pPr>
            <w:r>
              <w:t>-Tłumaczenie ustne - wstęp teoretyczny (tłumaczenie konsekutywne a symultaniczne)</w:t>
            </w:r>
          </w:p>
          <w:p w:rsidR="00030292" w:rsidRDefault="00CE2AF3">
            <w:pPr>
              <w:ind w:left="360"/>
            </w:pPr>
            <w:r>
              <w:t>-Om</w:t>
            </w:r>
            <w:r>
              <w:rPr>
                <w:lang w:val="es-ES_tradnl"/>
              </w:rPr>
              <w:t>ó</w:t>
            </w:r>
            <w:proofErr w:type="spellStart"/>
            <w:r>
              <w:t>wienie</w:t>
            </w:r>
            <w:proofErr w:type="spellEnd"/>
            <w:r>
              <w:t xml:space="preserve"> przykładowego wzorcowego tłumaczenia konsekutywnego</w:t>
            </w:r>
          </w:p>
          <w:p w:rsidR="00030292" w:rsidRDefault="00CE2AF3">
            <w:pPr>
              <w:ind w:left="360"/>
            </w:pPr>
            <w:r>
              <w:t>-Wprowadzenie mnemotechnik oraz ćwiczeń wspomagających tłumaczenie konsekuty</w:t>
            </w:r>
            <w:r>
              <w:t>w</w:t>
            </w:r>
            <w:r>
              <w:t>ne</w:t>
            </w:r>
          </w:p>
          <w:p w:rsidR="00030292" w:rsidRDefault="00CE2AF3">
            <w:pPr>
              <w:ind w:left="360"/>
            </w:pPr>
            <w:r>
              <w:t xml:space="preserve">-Struktura </w:t>
            </w:r>
            <w:proofErr w:type="spellStart"/>
            <w:r>
              <w:t>przem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wień</w:t>
            </w:r>
            <w:proofErr w:type="spellEnd"/>
            <w:r>
              <w:t xml:space="preserve"> – jak sformułować </w:t>
            </w:r>
            <w:proofErr w:type="spellStart"/>
            <w:r>
              <w:t>przem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wienie</w:t>
            </w:r>
            <w:proofErr w:type="spellEnd"/>
            <w:r>
              <w:t>, aby pomagało w tłumaczeniu? Jak s</w:t>
            </w:r>
            <w:r>
              <w:t>o</w:t>
            </w:r>
            <w:r>
              <w:t>bie poradzić z trudnym m</w:t>
            </w:r>
            <w:r>
              <w:rPr>
                <w:lang w:val="es-ES_tradnl"/>
              </w:rPr>
              <w:t>ó</w:t>
            </w:r>
            <w:proofErr w:type="spellStart"/>
            <w:r>
              <w:t>wcą</w:t>
            </w:r>
            <w:proofErr w:type="spellEnd"/>
            <w:r>
              <w:t>?</w:t>
            </w:r>
          </w:p>
          <w:p w:rsidR="00030292" w:rsidRDefault="00CE2AF3">
            <w:pPr>
              <w:ind w:left="360"/>
            </w:pPr>
            <w:r>
              <w:t>-Tłumaczenia konsekutywne kr</w:t>
            </w:r>
            <w:r>
              <w:rPr>
                <w:lang w:val="es-ES_tradnl"/>
              </w:rPr>
              <w:t>ó</w:t>
            </w:r>
            <w:proofErr w:type="spellStart"/>
            <w:r>
              <w:t>tkich</w:t>
            </w:r>
            <w:proofErr w:type="spellEnd"/>
            <w:r>
              <w:t xml:space="preserve"> news</w:t>
            </w:r>
            <w:r>
              <w:rPr>
                <w:lang w:val="es-ES_tradnl"/>
              </w:rPr>
              <w:t>ó</w:t>
            </w:r>
            <w:r>
              <w:t>w przygotowanych p</w:t>
            </w:r>
            <w:r>
              <w:t>rzez student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  <w:p w:rsidR="00030292" w:rsidRDefault="00CE2AF3">
            <w:pPr>
              <w:ind w:left="360"/>
            </w:pPr>
            <w:r>
              <w:t>-Tłumaczenie konsekutywne kr</w:t>
            </w:r>
            <w:r>
              <w:rPr>
                <w:lang w:val="es-ES_tradnl"/>
              </w:rPr>
              <w:t>ó</w:t>
            </w:r>
            <w:proofErr w:type="spellStart"/>
            <w:r>
              <w:t>tkich</w:t>
            </w:r>
            <w:proofErr w:type="spellEnd"/>
            <w:r>
              <w:t xml:space="preserve"> </w:t>
            </w:r>
            <w:proofErr w:type="spellStart"/>
            <w:r>
              <w:t>przem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wień</w:t>
            </w:r>
            <w:proofErr w:type="spellEnd"/>
            <w:r>
              <w:t xml:space="preserve"> przygotowanych przez student</w:t>
            </w:r>
            <w:r>
              <w:rPr>
                <w:lang w:val="es-ES_tradnl"/>
              </w:rPr>
              <w:t>ó</w:t>
            </w:r>
            <w:r>
              <w:rPr>
                <w:lang w:val="en-US"/>
              </w:rPr>
              <w:t>w</w:t>
            </w:r>
          </w:p>
          <w:p w:rsidR="00030292" w:rsidRDefault="00CE2AF3">
            <w:pPr>
              <w:ind w:left="360"/>
            </w:pPr>
            <w:r>
              <w:t>-Wstęp do technik notacji konsekutywnej (</w:t>
            </w:r>
            <w:proofErr w:type="spellStart"/>
            <w:r>
              <w:t>słowa-klucze</w:t>
            </w:r>
            <w:proofErr w:type="spellEnd"/>
            <w:r>
              <w:t>, symbole)</w:t>
            </w:r>
          </w:p>
          <w:p w:rsidR="00030292" w:rsidRDefault="00CE2AF3">
            <w:pPr>
              <w:ind w:left="360"/>
            </w:pPr>
            <w:r>
              <w:t xml:space="preserve">-Wprowadzenie do pracy z glosariuszem </w:t>
            </w:r>
          </w:p>
          <w:p w:rsidR="00030292" w:rsidRDefault="00CE2AF3">
            <w:pPr>
              <w:ind w:left="360"/>
            </w:pPr>
            <w:r>
              <w:t xml:space="preserve">-Tłumaczenie konsekutywne </w:t>
            </w:r>
            <w:proofErr w:type="spellStart"/>
            <w:r>
              <w:t>przem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wień</w:t>
            </w:r>
            <w:proofErr w:type="spellEnd"/>
            <w:r>
              <w:t xml:space="preserve"> przygotowanych przez </w:t>
            </w:r>
            <w:r>
              <w:t>student</w:t>
            </w:r>
            <w:r>
              <w:rPr>
                <w:lang w:val="es-ES_tradnl"/>
              </w:rPr>
              <w:t>ó</w:t>
            </w:r>
            <w:r>
              <w:t xml:space="preserve">w </w:t>
            </w:r>
          </w:p>
          <w:p w:rsidR="00030292" w:rsidRDefault="00CE2AF3">
            <w:pPr>
              <w:ind w:left="360"/>
            </w:pPr>
            <w:r>
              <w:t>- Tłumaczenie konsekutywne materiałów autentycznych - w formie audiowizualnej – wspom</w:t>
            </w:r>
            <w:r>
              <w:t>a</w:t>
            </w:r>
            <w:r>
              <w:t xml:space="preserve">gane sporządzaniem notatek </w:t>
            </w:r>
          </w:p>
          <w:p w:rsidR="00030292" w:rsidRDefault="00CE2AF3">
            <w:pPr>
              <w:ind w:left="360"/>
            </w:pPr>
            <w:r>
              <w:t>-Streszczanie, zmiana rejestru stylistycznego, przeformułowywanie, myślenie analityczne, ćw</w:t>
            </w:r>
            <w:r>
              <w:t>i</w:t>
            </w:r>
            <w:r>
              <w:t xml:space="preserve">czenia na emisję głosu </w:t>
            </w:r>
          </w:p>
          <w:p w:rsidR="00030292" w:rsidRDefault="00CE2AF3">
            <w:pPr>
              <w:ind w:left="360"/>
            </w:pPr>
            <w:r>
              <w:t>- wzajemne ocen</w:t>
            </w:r>
            <w:r>
              <w:t>ianie jakoś</w:t>
            </w:r>
            <w:r>
              <w:rPr>
                <w:lang w:val="it-IT"/>
              </w:rPr>
              <w:t>ci t</w:t>
            </w:r>
            <w:proofErr w:type="spellStart"/>
            <w:r>
              <w:t>łumaczenia</w:t>
            </w:r>
            <w:proofErr w:type="spellEnd"/>
            <w:r>
              <w:t xml:space="preserve"> </w:t>
            </w:r>
          </w:p>
          <w:p w:rsidR="00030292" w:rsidRDefault="00CE2AF3">
            <w:pPr>
              <w:ind w:left="360"/>
            </w:pPr>
            <w:r>
              <w:t xml:space="preserve">- Zespołowy projekt studencki – mini-konferencja naukowa: </w:t>
            </w:r>
          </w:p>
          <w:p w:rsidR="00030292" w:rsidRDefault="00CE2AF3">
            <w:pPr>
              <w:ind w:left="360"/>
            </w:pPr>
            <w:r>
              <w:t>a) rola prelegenta - przygotowanie wystąpień konferencyjnych (abstrakt, prezentacja, m</w:t>
            </w:r>
            <w:r>
              <w:t>i</w:t>
            </w:r>
            <w:r>
              <w:t xml:space="preserve">ni-artykuł) na dany temat, </w:t>
            </w:r>
          </w:p>
          <w:p w:rsidR="00030292" w:rsidRDefault="00CE2AF3">
            <w:pPr>
              <w:ind w:left="360"/>
            </w:pPr>
            <w:r>
              <w:t>b) rola tłumacza – przygotowanie glosariuszy zawierając</w:t>
            </w:r>
            <w:r>
              <w:t>ych specjalistyczne słownictwo oraz tłumaczenie konsekutywne wystąpień podczas zajęć przez wybranych losowo tłum</w:t>
            </w:r>
            <w:r>
              <w:t>a</w:t>
            </w:r>
            <w:r>
              <w:t>czy</w:t>
            </w:r>
          </w:p>
          <w:p w:rsidR="00030292" w:rsidRDefault="00CE2AF3">
            <w:pPr>
              <w:ind w:left="360"/>
            </w:pPr>
            <w:r>
              <w:t xml:space="preserve">c) rola adresata tłumaczenia – </w:t>
            </w:r>
            <w:proofErr w:type="spellStart"/>
            <w:r>
              <w:t>feedback</w:t>
            </w:r>
            <w:proofErr w:type="spellEnd"/>
            <w:r>
              <w:t xml:space="preserve"> dla tłumacza, zadawanie pytań m</w:t>
            </w:r>
            <w:r>
              <w:rPr>
                <w:lang w:val="es-ES_tradnl"/>
              </w:rPr>
              <w:t>ó</w:t>
            </w:r>
            <w:proofErr w:type="spellStart"/>
            <w:r>
              <w:t>wcy</w:t>
            </w:r>
            <w:proofErr w:type="spellEnd"/>
          </w:p>
        </w:tc>
      </w:tr>
    </w:tbl>
    <w:p w:rsidR="00030292" w:rsidRDefault="00030292">
      <w:pPr>
        <w:pStyle w:val="Akapitzlist"/>
        <w:widowControl w:val="0"/>
        <w:spacing w:line="240" w:lineRule="auto"/>
        <w:ind w:left="1080"/>
      </w:pPr>
    </w:p>
    <w:p w:rsidR="00030292" w:rsidRDefault="00CE2AF3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292" w:rsidRDefault="00CE2AF3">
            <w:pPr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r>
              <w:rPr>
                <w:rFonts w:ascii="Times New Roman" w:hAnsi="Times New Roman"/>
              </w:rPr>
              <w:t>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292" w:rsidRDefault="00CE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292" w:rsidRDefault="00CE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292" w:rsidRDefault="00CE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</w:t>
            </w:r>
          </w:p>
          <w:p w:rsidR="00030292" w:rsidRDefault="00CE2AF3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  <w:r>
              <w:rPr>
                <w:rFonts w:ascii="Times New Roman" w:hAnsi="Times New Roman"/>
              </w:rPr>
              <w:t>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30292" w:rsidRDefault="00CE2AF3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ad </w:t>
            </w:r>
            <w:r>
              <w:rPr>
                <w:rFonts w:ascii="Times New Roman" w:hAnsi="Times New Roman"/>
              </w:rPr>
              <w:t>konwersatoryjny,</w:t>
            </w:r>
          </w:p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Dyskusja,</w:t>
            </w:r>
          </w:p>
          <w:p w:rsidR="00030292" w:rsidRDefault="00CE2AF3">
            <w:r>
              <w:rPr>
                <w:rFonts w:ascii="Times New Roman" w:hAnsi="Times New Roman"/>
                <w:lang w:val="en-US"/>
              </w:rPr>
              <w:t>Case study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  <w:r>
              <w:rPr>
                <w:rFonts w:ascii="Times New Roman" w:hAnsi="Times New Roman"/>
              </w:rPr>
              <w:t>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30292" w:rsidRDefault="00CE2AF3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konwersatoryjny,</w:t>
            </w:r>
          </w:p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Dyskusja,</w:t>
            </w:r>
          </w:p>
          <w:p w:rsidR="00030292" w:rsidRDefault="00CE2AF3">
            <w:r>
              <w:rPr>
                <w:rFonts w:ascii="Times New Roman" w:hAnsi="Times New Roman"/>
                <w:lang w:val="en-US"/>
              </w:rPr>
              <w:t>Case study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  <w:r>
              <w:rPr>
                <w:rFonts w:ascii="Times New Roman" w:hAnsi="Times New Roman"/>
              </w:rPr>
              <w:t>, 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30292" w:rsidRDefault="00CE2AF3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30292" w:rsidRDefault="00CE2AF3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30292" w:rsidRDefault="00CE2AF3">
            <w:r>
              <w:rPr>
                <w:rFonts w:ascii="Times New Roman" w:hAnsi="Times New Roman"/>
              </w:rPr>
              <w:t xml:space="preserve">Raport z </w:t>
            </w:r>
            <w:r>
              <w:rPr>
                <w:rFonts w:ascii="Times New Roman" w:hAnsi="Times New Roman"/>
              </w:rPr>
              <w:t>obserwacji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ca w grupach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30292" w:rsidRDefault="00CE2AF3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0292" w:rsidRDefault="00CE2A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30292" w:rsidRDefault="00CE2AF3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Obserwacja, 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30292" w:rsidRDefault="00CE2AF3">
            <w:r>
              <w:rPr>
                <w:rFonts w:ascii="Times New Roman" w:hAnsi="Times New Roman"/>
              </w:rPr>
              <w:t>Raport z obserwacji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praktyczne, pr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ca w grupach w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nych rolach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 xml:space="preserve">Obserwacja, </w:t>
            </w:r>
            <w:r>
              <w:rPr>
                <w:rFonts w:ascii="Times New Roman" w:hAnsi="Times New Roman"/>
              </w:rPr>
              <w:t>Sprawdzenie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praktycznych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Karta oceny,</w:t>
            </w:r>
          </w:p>
          <w:p w:rsidR="00030292" w:rsidRDefault="00CE2AF3">
            <w:r>
              <w:rPr>
                <w:rFonts w:ascii="Times New Roman" w:hAnsi="Times New Roman"/>
              </w:rPr>
              <w:t>Raport z obserwacji</w:t>
            </w:r>
          </w:p>
        </w:tc>
      </w:tr>
    </w:tbl>
    <w:p w:rsidR="00030292" w:rsidRDefault="00030292">
      <w:pPr>
        <w:pStyle w:val="Akapitzlist"/>
        <w:widowControl w:val="0"/>
        <w:spacing w:line="240" w:lineRule="auto"/>
        <w:ind w:left="1296"/>
      </w:pPr>
    </w:p>
    <w:p w:rsidR="00030292" w:rsidRDefault="00CE2AF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Kryteria oceny, wagi</w:t>
      </w:r>
      <w:r>
        <w:rPr>
          <w:rFonts w:ascii="Times New Roman" w:hAnsi="Times New Roman"/>
          <w:b/>
          <w:bCs/>
        </w:rPr>
        <w:t xml:space="preserve">… </w:t>
      </w:r>
    </w:p>
    <w:p w:rsidR="00030292" w:rsidRDefault="00CE2AF3">
      <w:pPr>
        <w:pStyle w:val="v1msonormal"/>
        <w:jc w:val="both"/>
        <w:rPr>
          <w:sz w:val="22"/>
          <w:szCs w:val="22"/>
        </w:rPr>
      </w:pPr>
      <w:r>
        <w:rPr>
          <w:sz w:val="22"/>
          <w:szCs w:val="22"/>
        </w:rPr>
        <w:t>Student podlega ewaluacji na bieżąco. Oceniana jest aktywność na zajęciach i przygotowanie do zajęć (przygotowanie ustne i tłumaczenie ustne news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</w:t>
      </w:r>
      <w:proofErr w:type="spellStart"/>
      <w:r>
        <w:rPr>
          <w:sz w:val="22"/>
          <w:szCs w:val="22"/>
        </w:rPr>
        <w:t>przem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</w:t>
      </w:r>
      <w:r>
        <w:rPr>
          <w:sz w:val="22"/>
          <w:szCs w:val="22"/>
        </w:rPr>
        <w:t>ń</w:t>
      </w:r>
      <w:proofErr w:type="spellEnd"/>
      <w:r>
        <w:rPr>
          <w:sz w:val="22"/>
          <w:szCs w:val="22"/>
        </w:rPr>
        <w:t xml:space="preserve"> na wybrane tematy, przygotowanie ćwiczeń tłumaczeniowych, przygotowanie glosariuszy, tłumaczenie nagranych wcześniej </w:t>
      </w:r>
      <w:proofErr w:type="spellStart"/>
      <w:r>
        <w:rPr>
          <w:sz w:val="22"/>
          <w:szCs w:val="22"/>
        </w:rPr>
        <w:t>przem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>), a także stopień zaawansowania i poprawności językowej i postęp w tłumaczeniu ustnym.</w:t>
      </w:r>
    </w:p>
    <w:p w:rsidR="00030292" w:rsidRDefault="00CE2AF3">
      <w:pPr>
        <w:pStyle w:val="v1mso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Dozwolona liczba nieobecności: 2. </w:t>
      </w:r>
      <w:r>
        <w:rPr>
          <w:sz w:val="22"/>
          <w:szCs w:val="22"/>
        </w:rPr>
        <w:t xml:space="preserve">Warunki nadrobienia zaległości wynikających z przekroczenia ww. liczby </w:t>
      </w:r>
      <w:proofErr w:type="spellStart"/>
      <w:r>
        <w:rPr>
          <w:sz w:val="22"/>
          <w:szCs w:val="22"/>
        </w:rPr>
        <w:t>nieobecnoś</w:t>
      </w:r>
      <w:proofErr w:type="spellEnd"/>
      <w:r>
        <w:rPr>
          <w:sz w:val="22"/>
          <w:szCs w:val="22"/>
          <w:lang w:val="it-IT"/>
        </w:rPr>
        <w:t>ci s</w:t>
      </w:r>
      <w:r>
        <w:rPr>
          <w:sz w:val="22"/>
          <w:szCs w:val="22"/>
        </w:rPr>
        <w:t>ą każdorazowo indywidualnie uzgadniane z prowadzącym.</w:t>
      </w:r>
    </w:p>
    <w:p w:rsidR="00030292" w:rsidRDefault="00CE2AF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umaczenia na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ciach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60%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Aktywno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na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ciach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20%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wiczenia przygotowywane na </w:t>
      </w:r>
      <w:proofErr w:type="spellStart"/>
      <w:r>
        <w:rPr>
          <w:rFonts w:ascii="Times New Roman" w:hAnsi="Times New Roman"/>
        </w:rPr>
        <w:t>zaj</w:t>
      </w:r>
      <w:r>
        <w:rPr>
          <w:rFonts w:ascii="Times New Roman" w:hAnsi="Times New Roman"/>
        </w:rPr>
        <w:t>ę</w:t>
      </w:r>
      <w:proofErr w:type="spellEnd"/>
      <w:r>
        <w:rPr>
          <w:rFonts w:ascii="Times New Roman" w:hAnsi="Times New Roman"/>
          <w:lang w:val="it-IT"/>
        </w:rPr>
        <w:t xml:space="preserve">cia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10%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Obecno</w:t>
      </w:r>
      <w:r>
        <w:rPr>
          <w:rFonts w:ascii="Times New Roman" w:hAnsi="Times New Roman"/>
        </w:rPr>
        <w:t xml:space="preserve">ść – </w:t>
      </w:r>
      <w:r>
        <w:rPr>
          <w:rFonts w:ascii="Times New Roman" w:hAnsi="Times New Roman"/>
        </w:rPr>
        <w:t>10%</w:t>
      </w:r>
    </w:p>
    <w:p w:rsidR="00030292" w:rsidRDefault="00030292">
      <w:pPr>
        <w:ind w:left="360"/>
        <w:rPr>
          <w:rFonts w:ascii="Times New Roman" w:eastAsia="Times New Roman" w:hAnsi="Times New Roman" w:cs="Times New Roman"/>
        </w:rPr>
      </w:pPr>
    </w:p>
    <w:p w:rsidR="00030292" w:rsidRDefault="00CE2AF3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bookmarkStart w:id="0" w:name="_GoBack"/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30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60</w:t>
            </w:r>
          </w:p>
        </w:tc>
      </w:tr>
      <w:bookmarkEnd w:id="0"/>
    </w:tbl>
    <w:p w:rsidR="00030292" w:rsidRDefault="00030292">
      <w:pPr>
        <w:widowControl w:val="0"/>
        <w:spacing w:line="240" w:lineRule="auto"/>
      </w:pPr>
    </w:p>
    <w:p w:rsidR="00030292" w:rsidRDefault="00CE2AF3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Giles, D. 2009. Basic Concepts and Models for Interpreter and Translator Training. </w:t>
            </w:r>
          </w:p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Gilles, Andrew. 2001. Conference Interpreting: A Student's Companion. </w:t>
            </w:r>
            <w:proofErr w:type="spellStart"/>
            <w:r>
              <w:rPr>
                <w:rFonts w:ascii="Times New Roman" w:hAnsi="Times New Roman"/>
                <w:lang w:val="en-US"/>
              </w:rPr>
              <w:t>Tertium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Krak</w:t>
            </w:r>
            <w:r>
              <w:rPr>
                <w:rFonts w:ascii="Times New Roman" w:hAnsi="Times New Roman"/>
                <w:lang w:val="en-US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Jones, Roderick. 2002. Conference Interpreting Explained. Manchester: St. Jerome. </w:t>
            </w:r>
          </w:p>
          <w:p w:rsidR="00030292" w:rsidRDefault="00CE2AF3">
            <w:proofErr w:type="spellStart"/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ryuk</w:t>
            </w:r>
            <w:proofErr w:type="spellEnd"/>
            <w:r>
              <w:rPr>
                <w:rFonts w:ascii="Times New Roman" w:hAnsi="Times New Roman"/>
              </w:rPr>
              <w:t>, M. 2007.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ustny konferencyjny. Warszawa : Wydawnictwo Naukowe PWN.</w:t>
            </w:r>
          </w:p>
        </w:tc>
      </w:tr>
      <w:tr w:rsidR="00030292" w:rsidTr="00F46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030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Gambier, Yves, </w:t>
            </w:r>
            <w:proofErr w:type="spellStart"/>
            <w:r>
              <w:rPr>
                <w:rFonts w:ascii="Times New Roman" w:hAnsi="Times New Roman"/>
                <w:lang w:val="en-US"/>
              </w:rPr>
              <w:t>Gile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Daniel i Christopher </w:t>
            </w:r>
            <w:proofErr w:type="spellStart"/>
            <w:r>
              <w:rPr>
                <w:rFonts w:ascii="Times New Roman" w:hAnsi="Times New Roman"/>
                <w:lang w:val="en-US"/>
              </w:rPr>
              <w:t>Tylor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1997. Conference Interpreting. Amsterdam: John </w:t>
            </w:r>
            <w:proofErr w:type="spellStart"/>
            <w:r>
              <w:rPr>
                <w:rFonts w:ascii="Times New Roman" w:hAnsi="Times New Roman"/>
                <w:lang w:val="en-US"/>
              </w:rPr>
              <w:t>Benjamins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Korzeniowska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 2005. Successful Polish-English translation. Warszawa: </w:t>
            </w:r>
            <w:proofErr w:type="spellStart"/>
            <w:r>
              <w:rPr>
                <w:rFonts w:ascii="Times New Roman" w:hAnsi="Times New Roman"/>
                <w:lang w:val="en-US"/>
              </w:rPr>
              <w:t>Wydaw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Naukowe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PWN. </w:t>
            </w:r>
          </w:p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Seleskovitch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Danica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1989. Teaching Conference Interpreting. w: </w:t>
            </w:r>
            <w:proofErr w:type="spellStart"/>
            <w:r>
              <w:rPr>
                <w:rFonts w:ascii="Times New Roman" w:hAnsi="Times New Roman"/>
                <w:lang w:val="en-US"/>
              </w:rPr>
              <w:t>Krawutschke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Peter W. (red.) Translator and </w:t>
            </w:r>
            <w:proofErr w:type="spellStart"/>
            <w:r>
              <w:rPr>
                <w:rFonts w:ascii="Times New Roman" w:hAnsi="Times New Roman"/>
                <w:lang w:val="en-US"/>
              </w:rPr>
              <w:t>Intepreter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Training and Foreign Language Pedagogy. Ams</w:t>
            </w:r>
            <w:r>
              <w:rPr>
                <w:rFonts w:ascii="Times New Roman" w:hAnsi="Times New Roman"/>
                <w:lang w:val="en-US"/>
              </w:rPr>
              <w:t xml:space="preserve">terdam / Binghamton: John </w:t>
            </w:r>
            <w:proofErr w:type="spellStart"/>
            <w:r>
              <w:rPr>
                <w:rFonts w:ascii="Times New Roman" w:hAnsi="Times New Roman"/>
                <w:lang w:val="en-US"/>
              </w:rPr>
              <w:t>Benjamins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/ ATA. </w:t>
            </w:r>
          </w:p>
          <w:p w:rsidR="00030292" w:rsidRDefault="00CE2A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Setton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Robin i </w:t>
            </w:r>
            <w:proofErr w:type="spellStart"/>
            <w:r>
              <w:rPr>
                <w:rFonts w:ascii="Times New Roman" w:hAnsi="Times New Roman"/>
                <w:lang w:val="en-US"/>
              </w:rPr>
              <w:t>Adrew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Dawrant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2016. Conference Interpreting: A Complete Course. </w:t>
            </w:r>
            <w:r>
              <w:rPr>
                <w:rFonts w:ascii="Times New Roman" w:hAnsi="Times New Roman"/>
                <w:lang w:val="nl-NL"/>
              </w:rPr>
              <w:t xml:space="preserve">Amsterdam / Philadelphia: John Benjamins. </w:t>
            </w:r>
          </w:p>
          <w:p w:rsidR="00030292" w:rsidRDefault="00CE2AF3">
            <w:proofErr w:type="spellStart"/>
            <w:r>
              <w:rPr>
                <w:rFonts w:ascii="Times New Roman" w:hAnsi="Times New Roman"/>
              </w:rPr>
              <w:t>Tryuk</w:t>
            </w:r>
            <w:proofErr w:type="spellEnd"/>
            <w:r>
              <w:rPr>
                <w:rFonts w:ascii="Times New Roman" w:hAnsi="Times New Roman"/>
              </w:rPr>
              <w:t>, M. 2006. 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ad ustny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rodowiskowy. Warszawa : Wydawnictwo Naukowe PWN.</w:t>
            </w:r>
          </w:p>
        </w:tc>
      </w:tr>
    </w:tbl>
    <w:p w:rsidR="00030292" w:rsidRDefault="00030292" w:rsidP="00F46484">
      <w:pPr>
        <w:widowControl w:val="0"/>
        <w:spacing w:line="240" w:lineRule="auto"/>
      </w:pPr>
    </w:p>
    <w:sectPr w:rsidR="00030292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F3" w:rsidRDefault="00CE2AF3">
      <w:pPr>
        <w:spacing w:after="0" w:line="240" w:lineRule="auto"/>
      </w:pPr>
      <w:r>
        <w:separator/>
      </w:r>
    </w:p>
  </w:endnote>
  <w:endnote w:type="continuationSeparator" w:id="0">
    <w:p w:rsidR="00CE2AF3" w:rsidRDefault="00CE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F3" w:rsidRDefault="00CE2AF3">
      <w:pPr>
        <w:spacing w:after="0" w:line="240" w:lineRule="auto"/>
      </w:pPr>
      <w:r>
        <w:separator/>
      </w:r>
    </w:p>
  </w:footnote>
  <w:footnote w:type="continuationSeparator" w:id="0">
    <w:p w:rsidR="00CE2AF3" w:rsidRDefault="00CE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1E6"/>
    <w:multiLevelType w:val="hybridMultilevel"/>
    <w:tmpl w:val="7C261EF8"/>
    <w:styleLink w:val="ImportedStyle1"/>
    <w:lvl w:ilvl="0" w:tplc="98F4507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2A6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F82A0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0CF7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A8F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FEF6A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898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0F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BEB15E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C767237"/>
    <w:multiLevelType w:val="hybridMultilevel"/>
    <w:tmpl w:val="7C261EF8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81F8AD1E">
        <w:start w:val="1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CE2148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4A096A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48DAEC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48B7A6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FC2390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72042C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1E187A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36A168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lvl w:ilvl="0" w:tplc="81F8AD1E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CE2148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4A096A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48DAEC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48B7A6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FC2390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72042C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1E187A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36A168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0292"/>
    <w:rsid w:val="00030292"/>
    <w:rsid w:val="00CE2AF3"/>
    <w:rsid w:val="00F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v1msonormal">
    <w:name w:val="v1msonormal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4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48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v1msonormal">
    <w:name w:val="v1msonormal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4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48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1027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2021-09-22T12:26:00Z</dcterms:created>
  <dcterms:modified xsi:type="dcterms:W3CDTF">2021-09-22T12:30:00Z</dcterms:modified>
</cp:coreProperties>
</file>