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18F2" w:rsidRDefault="00FC3A71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KARTA PRZEDMIOTU </w:t>
      </w:r>
    </w:p>
    <w:p w:rsidR="00DB18F2" w:rsidRDefault="00DB18F2">
      <w:pPr>
        <w:rPr>
          <w:rFonts w:ascii="Times New Roman" w:eastAsia="Times New Roman" w:hAnsi="Times New Roman" w:cs="Times New Roman"/>
          <w:b/>
          <w:bCs/>
        </w:rPr>
      </w:pPr>
    </w:p>
    <w:p w:rsidR="00DB18F2" w:rsidRDefault="00FC3A71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Dane podstawowe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17"/>
      </w:tblGrid>
      <w:tr w:rsidR="00DB18F2" w:rsidTr="007B0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r>
              <w:rPr>
                <w:rFonts w:ascii="Times New Roman" w:hAnsi="Times New Roman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r>
              <w:rPr>
                <w:rFonts w:ascii="Times New Roman" w:hAnsi="Times New Roman"/>
              </w:rPr>
              <w:t>Literatura ameryka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ska</w:t>
            </w:r>
          </w:p>
        </w:tc>
      </w:tr>
      <w:tr w:rsidR="00DB18F2" w:rsidTr="007B0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r>
              <w:rPr>
                <w:rFonts w:ascii="Times New Roman" w:hAnsi="Times New Roman"/>
              </w:rPr>
              <w:t>Nazwa przedmiotu w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American literature</w:t>
            </w:r>
          </w:p>
        </w:tc>
      </w:tr>
      <w:tr w:rsidR="00DB18F2" w:rsidTr="007B0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Kierunek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r>
              <w:rPr>
                <w:rFonts w:ascii="Times New Roman" w:hAnsi="Times New Roman"/>
              </w:rPr>
              <w:t>filologia angielska</w:t>
            </w:r>
          </w:p>
        </w:tc>
      </w:tr>
      <w:tr w:rsidR="00DB18F2" w:rsidTr="007B0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Poziom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r>
              <w:rPr>
                <w:rFonts w:ascii="Times New Roman" w:hAnsi="Times New Roman"/>
              </w:rPr>
              <w:t>II</w:t>
            </w:r>
          </w:p>
        </w:tc>
      </w:tr>
      <w:tr w:rsidR="00DB18F2" w:rsidTr="007B0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Forma 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(stacjonarne, </w:t>
            </w:r>
            <w:r>
              <w:rPr>
                <w:rFonts w:ascii="Times New Roman" w:hAnsi="Times New Roman"/>
              </w:rPr>
              <w:t>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r>
              <w:rPr>
                <w:rFonts w:ascii="Times New Roman" w:hAnsi="Times New Roman"/>
              </w:rPr>
              <w:t>stacjonarne</w:t>
            </w:r>
          </w:p>
        </w:tc>
      </w:tr>
      <w:tr w:rsidR="00DB18F2" w:rsidTr="007B0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r>
              <w:rPr>
                <w:rFonts w:ascii="Times New Roman" w:hAnsi="Times New Roman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zykoznawstwo</w:t>
            </w:r>
          </w:p>
        </w:tc>
      </w:tr>
      <w:tr w:rsidR="00DB18F2" w:rsidTr="007B0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 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 angielski</w:t>
            </w:r>
          </w:p>
        </w:tc>
      </w:tr>
    </w:tbl>
    <w:p w:rsidR="00DB18F2" w:rsidRDefault="00DB18F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14"/>
      </w:tblGrid>
      <w:tr w:rsidR="00DB18F2" w:rsidTr="007B0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r>
              <w:rPr>
                <w:rFonts w:ascii="Times New Roman" w:hAnsi="Times New Roman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r>
              <w:rPr>
                <w:rFonts w:ascii="Times New Roman" w:hAnsi="Times New Roman"/>
              </w:rPr>
              <w:t>Dr Ewelina Ba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ka</w:t>
            </w:r>
          </w:p>
        </w:tc>
      </w:tr>
    </w:tbl>
    <w:p w:rsidR="00DB18F2" w:rsidRDefault="00DB18F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DB18F2" w:rsidTr="007B0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 w:rsidP="007B0A04">
            <w:pPr>
              <w:jc w:val="center"/>
            </w:pPr>
            <w:r>
              <w:rPr>
                <w:rFonts w:ascii="Times New Roman" w:hAnsi="Times New Roman"/>
              </w:rPr>
              <w:t>Forma zaj</w:t>
            </w:r>
            <w:r>
              <w:rPr>
                <w:rFonts w:ascii="Times New Roman" w:hAnsi="Times New Roman"/>
              </w:rPr>
              <w:t>ęć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Punkty ECTS</w:t>
            </w:r>
          </w:p>
        </w:tc>
      </w:tr>
      <w:tr w:rsidR="00DB18F2" w:rsidTr="007B0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DB18F2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DB18F2"/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F2" w:rsidRDefault="00FC3A71" w:rsidP="007B0A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DB18F2" w:rsidTr="007B0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DB18F2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DB18F2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8F2" w:rsidRDefault="00DB18F2"/>
        </w:tc>
      </w:tr>
      <w:tr w:rsidR="00DB18F2" w:rsidTr="007B0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DB18F2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DB18F2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8F2" w:rsidRDefault="00DB18F2"/>
        </w:tc>
      </w:tr>
      <w:tr w:rsidR="00DB18F2" w:rsidTr="007B0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DB18F2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DB18F2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8F2" w:rsidRDefault="00DB18F2"/>
        </w:tc>
      </w:tr>
      <w:tr w:rsidR="00DB18F2" w:rsidTr="007B0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r>
              <w:rPr>
                <w:rFonts w:ascii="Times New Roman" w:hAnsi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DB18F2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DB18F2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8F2" w:rsidRDefault="00DB18F2"/>
        </w:tc>
      </w:tr>
      <w:tr w:rsidR="00DB18F2" w:rsidTr="007B0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r>
              <w:rPr>
                <w:rFonts w:ascii="Times New Roman" w:hAnsi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r>
              <w:rPr>
                <w:rFonts w:ascii="Times New Roman" w:hAnsi="Times New Roman"/>
              </w:rPr>
              <w:t>I-IV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8F2" w:rsidRDefault="00DB18F2"/>
        </w:tc>
      </w:tr>
      <w:tr w:rsidR="00DB18F2" w:rsidTr="007B0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r>
              <w:rPr>
                <w:rFonts w:ascii="Times New Roman" w:hAnsi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DB18F2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DB18F2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8F2" w:rsidRDefault="00DB18F2"/>
        </w:tc>
      </w:tr>
      <w:tr w:rsidR="00DB18F2" w:rsidTr="007B0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r>
              <w:rPr>
                <w:rFonts w:ascii="Times New Roman" w:hAnsi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DB18F2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DB18F2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8F2" w:rsidRDefault="00DB18F2"/>
        </w:tc>
      </w:tr>
      <w:tr w:rsidR="00DB18F2" w:rsidTr="007B0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r>
              <w:rPr>
                <w:rFonts w:ascii="Times New Roman" w:hAnsi="Times New Roman"/>
              </w:rPr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DB18F2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DB18F2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8F2" w:rsidRDefault="00DB18F2"/>
        </w:tc>
      </w:tr>
      <w:tr w:rsidR="00DB18F2" w:rsidTr="007B0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r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DB18F2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DB18F2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8F2" w:rsidRDefault="00DB18F2"/>
        </w:tc>
      </w:tr>
      <w:tr w:rsidR="00DB18F2" w:rsidTr="007B0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r>
              <w:rPr>
                <w:rFonts w:ascii="Times New Roman" w:hAnsi="Times New Roman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DB18F2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DB18F2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8F2" w:rsidRDefault="00DB18F2"/>
        </w:tc>
      </w:tr>
      <w:tr w:rsidR="00DB18F2" w:rsidTr="007B0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DB18F2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DB18F2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8F2" w:rsidRDefault="00DB18F2"/>
        </w:tc>
      </w:tr>
      <w:tr w:rsidR="00DB18F2" w:rsidTr="007B0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r>
              <w:rPr>
                <w:rFonts w:ascii="Times New Roman" w:hAnsi="Times New Roman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DB18F2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DB18F2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8F2" w:rsidRDefault="00DB18F2"/>
        </w:tc>
      </w:tr>
    </w:tbl>
    <w:p w:rsidR="00DB18F2" w:rsidRDefault="00DB18F2">
      <w:pPr>
        <w:widowControl w:val="0"/>
        <w:spacing w:after="0" w:line="240" w:lineRule="auto"/>
        <w:ind w:left="216" w:hanging="216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6846"/>
      </w:tblGrid>
      <w:tr w:rsidR="00DB1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r>
              <w:rPr>
                <w:rFonts w:ascii="Times New Roman" w:hAnsi="Times New Roman"/>
              </w:rPr>
              <w:lastRenderedPageBreak/>
              <w:t>Wymagania wst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>Kompetencja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zykowa </w:t>
            </w:r>
            <w:r>
              <w:rPr>
                <w:rFonts w:ascii="Times New Roman" w:hAnsi="Times New Roman"/>
              </w:rPr>
              <w:t>na poziomie CEF: C1.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w zakresie u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 xml:space="preserve">ycia rejestru akademickiego w pracy pisemnej odpowiednie do poziomu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w. Poszerzona znajomo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teorii literatury oraz historii literatury ameryka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skiej. Do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 xml:space="preserve">wiadczenie w zakresie analizy i interpretacji </w:t>
            </w:r>
            <w:r>
              <w:rPr>
                <w:rFonts w:ascii="Times New Roman" w:hAnsi="Times New Roman"/>
              </w:rPr>
              <w:t>tekst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literackich.</w:t>
            </w:r>
          </w:p>
        </w:tc>
      </w:tr>
    </w:tbl>
    <w:p w:rsidR="00DB18F2" w:rsidRDefault="00DB18F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B18F2" w:rsidRDefault="00FC3A71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Cele kszta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 xml:space="preserve">cenia dla przedmiotu 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DB18F2" w:rsidTr="007B0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r>
              <w:rPr>
                <w:rFonts w:ascii="Times New Roman" w:hAnsi="Times New Roman"/>
              </w:rPr>
              <w:t>C1 Napisanie przez ka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dego z uczestnik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seminarium pracy magisterskiej. Prace rozpatruj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wybrane zagadnienia dotycz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 literatury ameryka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skiej. Szczeg</w:t>
            </w:r>
            <w:r>
              <w:rPr>
                <w:rFonts w:ascii="Times New Roman" w:hAnsi="Times New Roman"/>
              </w:rPr>
              <w:t>ół</w:t>
            </w:r>
            <w:r>
              <w:rPr>
                <w:rFonts w:ascii="Times New Roman" w:hAnsi="Times New Roman"/>
              </w:rPr>
              <w:t>owy zakres temat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okre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la prowadz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cy </w:t>
            </w:r>
            <w:r>
              <w:rPr>
                <w:rFonts w:ascii="Times New Roman" w:hAnsi="Times New Roman"/>
              </w:rPr>
              <w:t>seminarium.</w:t>
            </w:r>
          </w:p>
        </w:tc>
      </w:tr>
      <w:tr w:rsidR="00DB18F2" w:rsidTr="007B0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r>
              <w:rPr>
                <w:rFonts w:ascii="Times New Roman" w:hAnsi="Times New Roman"/>
              </w:rPr>
              <w:t>C2 Podniesienie znajomo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wsp</w:t>
            </w:r>
            <w:r>
              <w:rPr>
                <w:rFonts w:ascii="Times New Roman" w:hAnsi="Times New Roman"/>
              </w:rPr>
              <w:t>ół</w:t>
            </w:r>
            <w:r>
              <w:rPr>
                <w:rFonts w:ascii="Times New Roman" w:hAnsi="Times New Roman"/>
              </w:rPr>
              <w:t>czesnej literatury ameryka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 xml:space="preserve">skiej oraz problematyki literaturoznawczej, lepsze zrozumienie problematyki metodologii nauk humanistycznych (w </w:t>
            </w:r>
            <w:proofErr w:type="spellStart"/>
            <w:r>
              <w:rPr>
                <w:rFonts w:ascii="Times New Roman" w:hAnsi="Times New Roman"/>
              </w:rPr>
              <w:t>szczeg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lno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  <w:proofErr w:type="spellEnd"/>
            <w:r>
              <w:rPr>
                <w:rFonts w:ascii="Times New Roman" w:hAnsi="Times New Roman"/>
              </w:rPr>
              <w:t xml:space="preserve"> literaturoznawstwa).</w:t>
            </w:r>
          </w:p>
        </w:tc>
      </w:tr>
      <w:tr w:rsidR="00DB18F2" w:rsidTr="007B0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r>
              <w:rPr>
                <w:rFonts w:ascii="Times New Roman" w:hAnsi="Times New Roman"/>
              </w:rPr>
              <w:t>C3 Doskonalenie rozumienia oraz kryt</w:t>
            </w:r>
            <w:r>
              <w:rPr>
                <w:rFonts w:ascii="Times New Roman" w:hAnsi="Times New Roman"/>
              </w:rPr>
              <w:t>ycznej oceny warto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prac krytycznoliterackich oraz zdolno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analizy i interpretacji tekst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literackich.</w:t>
            </w:r>
          </w:p>
        </w:tc>
      </w:tr>
      <w:tr w:rsidR="00DB18F2" w:rsidTr="007B0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r>
              <w:rPr>
                <w:rFonts w:ascii="Times New Roman" w:hAnsi="Times New Roman"/>
              </w:rPr>
              <w:t>C4 Doskonalenie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wsp</w:t>
            </w:r>
            <w:r>
              <w:rPr>
                <w:rFonts w:ascii="Times New Roman" w:hAnsi="Times New Roman"/>
              </w:rPr>
              <w:t>ół</w:t>
            </w:r>
            <w:r>
              <w:rPr>
                <w:rFonts w:ascii="Times New Roman" w:hAnsi="Times New Roman"/>
              </w:rPr>
              <w:t>pracy z innymi uczestnikami seminarium (tj. formu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owania i korzystania z konstruktywnej krytyki), pog</w:t>
            </w:r>
            <w:r>
              <w:rPr>
                <w:rFonts w:ascii="Times New Roman" w:hAnsi="Times New Roman"/>
              </w:rPr>
              <w:t>łę</w:t>
            </w:r>
            <w:r>
              <w:rPr>
                <w:rFonts w:ascii="Times New Roman" w:hAnsi="Times New Roman"/>
              </w:rPr>
              <w:t xml:space="preserve">bienie </w:t>
            </w:r>
            <w:r>
              <w:rPr>
                <w:rFonts w:ascii="Times New Roman" w:hAnsi="Times New Roman"/>
              </w:rPr>
              <w:t>technicznych (warsztatowych)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pisania prac naukowych (</w:t>
            </w:r>
            <w:proofErr w:type="spellStart"/>
            <w:r>
              <w:rPr>
                <w:rFonts w:ascii="Times New Roman" w:hAnsi="Times New Roman"/>
              </w:rPr>
              <w:t>wyb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r tematu, przygotowanie projektu, </w:t>
            </w:r>
            <w:proofErr w:type="spellStart"/>
            <w:r>
              <w:rPr>
                <w:rFonts w:ascii="Times New Roman" w:hAnsi="Times New Roman"/>
              </w:rPr>
              <w:t>wyb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r metody, gromadzenie bibliografii, sporz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dzanie przypis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w, itd.) oraz przejrzystego i zwi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ego, logicznego i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zykowo poprawnego przedstawienia </w:t>
            </w:r>
            <w:r>
              <w:rPr>
                <w:rFonts w:ascii="Times New Roman" w:hAnsi="Times New Roman"/>
              </w:rPr>
              <w:t>wynik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bada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DB18F2" w:rsidRDefault="00DB18F2" w:rsidP="007B0A04">
      <w:pPr>
        <w:pBdr>
          <w:top w:val="nil"/>
        </w:pBdr>
        <w:spacing w:after="0"/>
        <w:rPr>
          <w:rFonts w:ascii="Times New Roman" w:eastAsia="Times New Roman" w:hAnsi="Times New Roman" w:cs="Times New Roman"/>
        </w:rPr>
      </w:pPr>
    </w:p>
    <w:p w:rsidR="00DB18F2" w:rsidRDefault="00FC3A71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Efekty uczenia si</w:t>
      </w:r>
      <w:r>
        <w:rPr>
          <w:rFonts w:ascii="Times New Roman" w:hAnsi="Times New Roman"/>
          <w:b/>
          <w:bCs/>
        </w:rPr>
        <w:t xml:space="preserve">ę </w:t>
      </w:r>
      <w:r>
        <w:rPr>
          <w:rFonts w:ascii="Times New Roman" w:hAnsi="Times New Roman"/>
          <w:b/>
          <w:bCs/>
        </w:rPr>
        <w:t>dla przedmiotu wraz z odniesieniem do efekt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kierunkowych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DB1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F2" w:rsidRDefault="00FC3A71">
            <w:pPr>
              <w:jc w:val="center"/>
            </w:pPr>
            <w:r>
              <w:rPr>
                <w:rFonts w:ascii="Times New Roman" w:hAnsi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F2" w:rsidRDefault="00FC3A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F2" w:rsidRDefault="00FC3A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Odniesienie do efektu kierunkowego</w:t>
            </w:r>
          </w:p>
        </w:tc>
      </w:tr>
      <w:tr w:rsidR="00DB1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DB1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r>
              <w:rPr>
                <w:rFonts w:ascii="Times New Roman" w:hAnsi="Times New Roman"/>
              </w:rPr>
              <w:t>Student identyfikuje i przedstawia 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cia z zakresu prawa autorskiego </w:t>
            </w:r>
            <w:r>
              <w:rPr>
                <w:rFonts w:ascii="Times New Roman" w:hAnsi="Times New Roman"/>
              </w:rPr>
              <w:t>oraz zasady poszanowania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asno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intelektualnej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K_W09</w:t>
            </w:r>
          </w:p>
        </w:tc>
      </w:tr>
      <w:tr w:rsidR="00DB1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DB1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Student dobiera </w:t>
            </w:r>
            <w:proofErr w:type="spellStart"/>
            <w:r>
              <w:rPr>
                <w:rFonts w:ascii="Times New Roman" w:hAnsi="Times New Roman"/>
              </w:rPr>
              <w:t>ź</w:t>
            </w:r>
            <w:r>
              <w:rPr>
                <w:rFonts w:ascii="Times New Roman" w:hAnsi="Times New Roman"/>
              </w:rPr>
              <w:t>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</w:t>
            </w:r>
            <w:proofErr w:type="spellEnd"/>
            <w:r>
              <w:rPr>
                <w:rFonts w:ascii="Times New Roman" w:hAnsi="Times New Roman"/>
              </w:rPr>
              <w:t xml:space="preserve"> krytyczne, oceniaj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 ich wiarogodno</w:t>
            </w:r>
            <w:r>
              <w:rPr>
                <w:rFonts w:ascii="Times New Roman" w:hAnsi="Times New Roman"/>
              </w:rPr>
              <w:t>ść</w:t>
            </w:r>
            <w:r>
              <w:rPr>
                <w:rFonts w:ascii="Times New Roman" w:hAnsi="Times New Roman"/>
              </w:rPr>
              <w:t>, aby formu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owa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  <w:lang w:val="en-US"/>
              </w:rPr>
              <w:t>w</w:t>
            </w:r>
            <w:proofErr w:type="spellStart"/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asne</w:t>
            </w:r>
            <w:proofErr w:type="spellEnd"/>
            <w:r>
              <w:rPr>
                <w:rFonts w:ascii="Times New Roman" w:hAnsi="Times New Roman"/>
              </w:rPr>
              <w:t xml:space="preserve"> pogl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dy w zakresie bada</w:t>
            </w:r>
            <w:r>
              <w:rPr>
                <w:rFonts w:ascii="Times New Roman" w:hAnsi="Times New Roman"/>
              </w:rPr>
              <w:t xml:space="preserve">ń </w:t>
            </w:r>
            <w:r>
              <w:rPr>
                <w:rFonts w:ascii="Times New Roman" w:hAnsi="Times New Roman"/>
                <w:lang w:val="sv-SE"/>
              </w:rPr>
              <w:t>nad literatur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ameryka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sk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K_U02 </w:t>
            </w:r>
          </w:p>
        </w:tc>
      </w:tr>
      <w:tr w:rsidR="00DB1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r>
              <w:rPr>
                <w:rFonts w:ascii="Times New Roman" w:hAnsi="Times New Roman"/>
              </w:rPr>
              <w:t xml:space="preserve">Student w </w:t>
            </w:r>
            <w:proofErr w:type="spellStart"/>
            <w:r>
              <w:rPr>
                <w:rFonts w:ascii="Times New Roman" w:hAnsi="Times New Roman"/>
              </w:rPr>
              <w:t>spos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b merytoryczny</w:t>
            </w:r>
            <w:r>
              <w:rPr>
                <w:rFonts w:ascii="Times New Roman" w:hAnsi="Times New Roman"/>
              </w:rPr>
              <w:t xml:space="preserve"> przeprowadza krytyczn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analiz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i interpretacj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utworu, uwzgl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dniaj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 obecny stan bada</w:t>
            </w:r>
            <w:r>
              <w:rPr>
                <w:rFonts w:ascii="Times New Roman" w:hAnsi="Times New Roman"/>
              </w:rPr>
              <w:t xml:space="preserve">ń </w:t>
            </w:r>
            <w:r>
              <w:rPr>
                <w:rFonts w:ascii="Times New Roman" w:hAnsi="Times New Roman"/>
              </w:rPr>
              <w:t>w dziedzinie literaturoznawstwa.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r>
              <w:rPr>
                <w:rFonts w:ascii="Times New Roman" w:hAnsi="Times New Roman"/>
                <w:lang w:val="en-US"/>
              </w:rPr>
              <w:t xml:space="preserve">K_U07  </w:t>
            </w:r>
          </w:p>
        </w:tc>
      </w:tr>
      <w:tr w:rsidR="00DB1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r>
              <w:rPr>
                <w:rFonts w:ascii="Times New Roman" w:hAnsi="Times New Roman"/>
              </w:rPr>
              <w:t>Student formu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uje i przedstawia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asne opinie krytyczne na temat wsp</w:t>
            </w:r>
            <w:r>
              <w:rPr>
                <w:rFonts w:ascii="Times New Roman" w:hAnsi="Times New Roman"/>
              </w:rPr>
              <w:t>ół</w:t>
            </w:r>
            <w:r>
              <w:rPr>
                <w:rFonts w:ascii="Times New Roman" w:hAnsi="Times New Roman"/>
              </w:rPr>
              <w:t>czesnej literatury ameryka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 xml:space="preserve">skiej i prac </w:t>
            </w:r>
            <w:r>
              <w:rPr>
                <w:rFonts w:ascii="Times New Roman" w:hAnsi="Times New Roman"/>
              </w:rPr>
              <w:t>krytycznoliterackich z tej dziedziny, pos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uguj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 si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zykiem angielskim na poziomie bieg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C1 +/ C2.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r>
              <w:rPr>
                <w:rFonts w:ascii="Times New Roman" w:hAnsi="Times New Roman"/>
                <w:lang w:val="en-US"/>
              </w:rPr>
              <w:t>K_U04, K_U05</w:t>
            </w:r>
          </w:p>
        </w:tc>
      </w:tr>
      <w:tr w:rsidR="00DB1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lastRenderedPageBreak/>
              <w:t>U_04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r>
              <w:rPr>
                <w:rFonts w:ascii="Times New Roman" w:hAnsi="Times New Roman"/>
              </w:rPr>
              <w:t>Student samodzielnie poszerza wiedz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w oparciu o prace innych autor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i przeprowadzone przez siebie badania w zakresie </w:t>
            </w:r>
            <w:r>
              <w:rPr>
                <w:rFonts w:ascii="Times New Roman" w:hAnsi="Times New Roman"/>
              </w:rPr>
              <w:t>literaturoznawstwa i nauk humanistycznych.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r>
              <w:rPr>
                <w:rFonts w:ascii="Times New Roman" w:hAnsi="Times New Roman"/>
                <w:lang w:val="en-US"/>
              </w:rPr>
              <w:t>K_U09</w:t>
            </w:r>
          </w:p>
        </w:tc>
      </w:tr>
      <w:tr w:rsidR="00DB1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DB1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Student zachowuje krytycyzm w ocenie </w:t>
            </w:r>
            <w:proofErr w:type="spellStart"/>
            <w:r>
              <w:rPr>
                <w:rFonts w:ascii="Times New Roman" w:hAnsi="Times New Roman"/>
              </w:rPr>
              <w:t>zar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wno</w:t>
            </w:r>
            <w:proofErr w:type="spellEnd"/>
            <w:r>
              <w:rPr>
                <w:rFonts w:ascii="Times New Roman" w:hAnsi="Times New Roman"/>
              </w:rPr>
              <w:t xml:space="preserve"> poziomu zdobytej wiedzy i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ci, jak i analizowanego materia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K_K01, K_K02 </w:t>
            </w:r>
          </w:p>
        </w:tc>
      </w:tr>
      <w:tr w:rsidR="00DB1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r>
              <w:rPr>
                <w:rFonts w:ascii="Times New Roman" w:hAnsi="Times New Roman"/>
              </w:rPr>
              <w:t>Student wykazuje otwarto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 xml:space="preserve">na dalszy </w:t>
            </w:r>
            <w:proofErr w:type="spellStart"/>
            <w:r>
              <w:rPr>
                <w:rFonts w:ascii="Times New Roman" w:hAnsi="Times New Roman"/>
              </w:rPr>
              <w:t>rozw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j zawodowy, </w:t>
            </w:r>
            <w:proofErr w:type="spellStart"/>
            <w:r>
              <w:rPr>
                <w:rFonts w:ascii="Times New Roman" w:hAnsi="Times New Roman"/>
              </w:rPr>
              <w:t>kt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ry</w:t>
            </w:r>
            <w:proofErr w:type="spellEnd"/>
            <w:r>
              <w:rPr>
                <w:rFonts w:ascii="Times New Roman" w:hAnsi="Times New Roman"/>
              </w:rPr>
              <w:t xml:space="preserve"> uwzgl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dnia nabyte podczas seminarium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i wiedz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r>
              <w:rPr>
                <w:rFonts w:ascii="Times New Roman" w:hAnsi="Times New Roman"/>
                <w:lang w:val="en-US"/>
              </w:rPr>
              <w:t>K_K06</w:t>
            </w:r>
          </w:p>
        </w:tc>
      </w:tr>
    </w:tbl>
    <w:p w:rsidR="00DB18F2" w:rsidRDefault="00DB18F2">
      <w:pPr>
        <w:pStyle w:val="Akapitzlist"/>
        <w:ind w:left="1080"/>
        <w:rPr>
          <w:rFonts w:ascii="Times New Roman" w:eastAsia="Times New Roman" w:hAnsi="Times New Roman" w:cs="Times New Roman"/>
          <w:b/>
          <w:bCs/>
        </w:rPr>
      </w:pPr>
    </w:p>
    <w:p w:rsidR="00DB18F2" w:rsidRDefault="00FC3A71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Opis przedmiotu/ tre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</w:rPr>
        <w:t>ci programowe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DB18F2" w:rsidTr="007B0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Semestr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 </w:t>
            </w:r>
          </w:p>
          <w:p w:rsidR="00DB18F2" w:rsidRDefault="00FC3A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S1 Wprowadzenie do kursu. Zapoznanie ze specyfik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pracy magisterskiej z dziedziny literaturoznawstwa (2 godz.)</w:t>
            </w:r>
          </w:p>
          <w:p w:rsidR="00DB18F2" w:rsidRDefault="00FC3A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S2-3 </w:t>
            </w: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 z warsztatu pisania pracy naukowej (problem plagiatu, kryteria oceny pracy naukowej, znaczenie metody naukowej i opisu stanu bada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, zasady zbierania materia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 xml:space="preserve">w, organizacja pracy, </w:t>
            </w:r>
            <w:proofErr w:type="spellStart"/>
            <w:r>
              <w:rPr>
                <w:rFonts w:ascii="Times New Roman" w:hAnsi="Times New Roman"/>
              </w:rPr>
              <w:t>itp</w:t>
            </w:r>
            <w:proofErr w:type="spellEnd"/>
            <w:r>
              <w:rPr>
                <w:rFonts w:ascii="Times New Roman" w:hAnsi="Times New Roman"/>
              </w:rPr>
              <w:t>) (4 godz.)</w:t>
            </w:r>
          </w:p>
          <w:p w:rsidR="00DB18F2" w:rsidRDefault="00FC3A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S4-5 Zasady interpretacji tekst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dyskusja nad gra</w:t>
            </w:r>
            <w:r>
              <w:rPr>
                <w:rFonts w:ascii="Times New Roman" w:hAnsi="Times New Roman"/>
              </w:rPr>
              <w:t>nicami wolno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czytelnika/literaturoznawcy w pracy z tekstem. Zasady naukowych bada</w:t>
            </w:r>
            <w:r>
              <w:rPr>
                <w:rFonts w:ascii="Times New Roman" w:hAnsi="Times New Roman"/>
              </w:rPr>
              <w:t xml:space="preserve">ń </w:t>
            </w:r>
            <w:r>
              <w:rPr>
                <w:rFonts w:ascii="Times New Roman" w:hAnsi="Times New Roman"/>
              </w:rPr>
              <w:t>nad tekstem literackim (4 godz.)</w:t>
            </w:r>
          </w:p>
          <w:p w:rsidR="00DB18F2" w:rsidRDefault="00FC3A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S6-7 Teoretyczna, historyczna, kulturowa specyfika gatunku literackiego stanowi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cego tematyk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seminarium (4 godz.)</w:t>
            </w:r>
          </w:p>
          <w:p w:rsidR="00DB18F2" w:rsidRDefault="00FC3A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S8-9 Wst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pne projekty </w:t>
            </w:r>
            <w:r>
              <w:rPr>
                <w:rFonts w:ascii="Times New Roman" w:hAnsi="Times New Roman"/>
              </w:rPr>
              <w:t>prac magisterskich (seminarzy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przedstawiaj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po 3 tematy prac i szczeg</w:t>
            </w:r>
            <w:r>
              <w:rPr>
                <w:rFonts w:ascii="Times New Roman" w:hAnsi="Times New Roman"/>
              </w:rPr>
              <w:t>ół</w:t>
            </w:r>
            <w:r>
              <w:rPr>
                <w:rFonts w:ascii="Times New Roman" w:hAnsi="Times New Roman"/>
              </w:rPr>
              <w:t xml:space="preserve">owo projekt jednej z nich)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dyskusja (4 godz.)</w:t>
            </w:r>
          </w:p>
          <w:p w:rsidR="00DB18F2" w:rsidRDefault="00FC3A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S10-12 </w:t>
            </w:r>
            <w:proofErr w:type="spellStart"/>
            <w:r>
              <w:rPr>
                <w:rFonts w:ascii="Times New Roman" w:hAnsi="Times New Roman"/>
                <w:lang w:val="en-US"/>
              </w:rPr>
              <w:t>Powt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rzenie</w:t>
            </w:r>
            <w:proofErr w:type="spellEnd"/>
            <w:r>
              <w:rPr>
                <w:rFonts w:ascii="Times New Roman" w:hAnsi="Times New Roman"/>
              </w:rPr>
              <w:t xml:space="preserve"> i utrwalenie podstawowej wiedzy z zakresu teorii literatury, szk</w:t>
            </w:r>
            <w:r>
              <w:rPr>
                <w:rFonts w:ascii="Times New Roman" w:hAnsi="Times New Roman"/>
              </w:rPr>
              <w:t xml:space="preserve">ół </w:t>
            </w:r>
            <w:r>
              <w:rPr>
                <w:rFonts w:ascii="Times New Roman" w:hAnsi="Times New Roman"/>
              </w:rPr>
              <w:t>badawczych (6 godz. )</w:t>
            </w:r>
          </w:p>
          <w:p w:rsidR="00DB18F2" w:rsidRDefault="00FC3A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S13-14 Praca nad indywidua</w:t>
            </w:r>
            <w:r>
              <w:rPr>
                <w:rFonts w:ascii="Times New Roman" w:hAnsi="Times New Roman"/>
              </w:rPr>
              <w:t>lnymi projektami (analiza tekst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krytyczno-literackich, analiza i interpretacja tekst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literackich, </w:t>
            </w:r>
            <w:proofErr w:type="spellStart"/>
            <w:r>
              <w:rPr>
                <w:rFonts w:ascii="Times New Roman" w:hAnsi="Times New Roman"/>
              </w:rPr>
              <w:t>kt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re s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przedmiotem pracy uczestnik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seminarium) (4 godz.)</w:t>
            </w:r>
          </w:p>
          <w:p w:rsidR="00DB18F2" w:rsidRDefault="00FC3A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S15 Podsumowanie pierwszego semestru pracy (2 godz.)</w:t>
            </w:r>
          </w:p>
          <w:p w:rsidR="00DB18F2" w:rsidRDefault="00FC3A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Suma godzin: 30</w:t>
            </w:r>
          </w:p>
          <w:p w:rsidR="00DB18F2" w:rsidRDefault="00FC3A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Semestr II, III i IV:</w:t>
            </w:r>
          </w:p>
          <w:p w:rsidR="00DB18F2" w:rsidRDefault="00FC3A71">
            <w:r>
              <w:rPr>
                <w:rFonts w:ascii="Times New Roman" w:hAnsi="Times New Roman"/>
              </w:rPr>
              <w:t xml:space="preserve">W </w:t>
            </w:r>
            <w:r>
              <w:rPr>
                <w:rFonts w:ascii="Times New Roman" w:hAnsi="Times New Roman"/>
              </w:rPr>
              <w:t>drugim i kolejnych semestrach wi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kszo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spotka</w:t>
            </w:r>
            <w:r>
              <w:rPr>
                <w:rFonts w:ascii="Times New Roman" w:hAnsi="Times New Roman"/>
              </w:rPr>
              <w:t xml:space="preserve">ń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cona jest analizie prac pisanych przez uczestnik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seminarium oraz omawianiu teoretycznych zagadnie</w:t>
            </w:r>
            <w:r>
              <w:rPr>
                <w:rFonts w:ascii="Times New Roman" w:hAnsi="Times New Roman"/>
              </w:rPr>
              <w:t xml:space="preserve">ń </w:t>
            </w:r>
            <w:r>
              <w:rPr>
                <w:rFonts w:ascii="Times New Roman" w:hAnsi="Times New Roman"/>
              </w:rPr>
              <w:t xml:space="preserve">albo interpretacji </w:t>
            </w:r>
            <w:proofErr w:type="spellStart"/>
            <w:r>
              <w:rPr>
                <w:rFonts w:ascii="Times New Roman" w:hAnsi="Times New Roman"/>
              </w:rPr>
              <w:t>utwor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literackich zwi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zanych ze szczeg</w:t>
            </w:r>
            <w:r>
              <w:rPr>
                <w:rFonts w:ascii="Times New Roman" w:hAnsi="Times New Roman"/>
              </w:rPr>
              <w:t>ół</w:t>
            </w:r>
            <w:r>
              <w:rPr>
                <w:rFonts w:ascii="Times New Roman" w:hAnsi="Times New Roman"/>
              </w:rPr>
              <w:t>owymi tematami prac uczestnik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seminari</w:t>
            </w:r>
            <w:r>
              <w:rPr>
                <w:rFonts w:ascii="Times New Roman" w:hAnsi="Times New Roman"/>
              </w:rPr>
              <w:t>um.</w:t>
            </w:r>
          </w:p>
        </w:tc>
      </w:tr>
    </w:tbl>
    <w:p w:rsidR="00DB18F2" w:rsidRDefault="00DB18F2">
      <w:pPr>
        <w:rPr>
          <w:rFonts w:ascii="Times New Roman" w:eastAsia="Times New Roman" w:hAnsi="Times New Roman" w:cs="Times New Roman"/>
          <w:b/>
          <w:bCs/>
        </w:rPr>
      </w:pPr>
    </w:p>
    <w:p w:rsidR="00DB18F2" w:rsidRDefault="00FC3A71">
      <w:pPr>
        <w:pStyle w:val="Akapitzlist"/>
        <w:numPr>
          <w:ilvl w:val="0"/>
          <w:numId w:val="7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Metody realizacji i weryfikacji efekt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uczenia si</w:t>
      </w:r>
      <w:r>
        <w:rPr>
          <w:rFonts w:ascii="Times New Roman" w:hAnsi="Times New Roman"/>
          <w:b/>
          <w:bCs/>
        </w:rPr>
        <w:t>ę</w:t>
      </w:r>
    </w:p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2647"/>
        <w:gridCol w:w="2779"/>
        <w:gridCol w:w="2546"/>
      </w:tblGrid>
      <w:tr w:rsidR="00DB18F2" w:rsidTr="007B0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F2" w:rsidRDefault="00FC3A71">
            <w:pPr>
              <w:jc w:val="center"/>
            </w:pPr>
            <w:r>
              <w:rPr>
                <w:rFonts w:ascii="Times New Roman" w:hAnsi="Times New Roman"/>
              </w:rPr>
              <w:t>Symbol efektu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F2" w:rsidRDefault="00FC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Metody dydaktyczne</w:t>
            </w:r>
          </w:p>
          <w:p w:rsidR="00DB18F2" w:rsidRDefault="00FC3A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F2" w:rsidRDefault="00FC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Metody weryfikacji</w:t>
            </w:r>
          </w:p>
          <w:p w:rsidR="00DB18F2" w:rsidRDefault="00FC3A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F2" w:rsidRDefault="00FC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Sposoby dokumentacji</w:t>
            </w:r>
          </w:p>
          <w:p w:rsidR="00DB18F2" w:rsidRDefault="00FC3A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</w:tr>
      <w:tr w:rsidR="00DB1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F2" w:rsidRDefault="00FC3A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DB18F2" w:rsidTr="007B0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9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roofErr w:type="spellStart"/>
            <w:r>
              <w:rPr>
                <w:rFonts w:ascii="Times New Roman" w:hAnsi="Times New Roman"/>
              </w:rPr>
              <w:t>Miniwyk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  <w:proofErr w:type="spellEnd"/>
            <w:r>
              <w:rPr>
                <w:rFonts w:ascii="Times New Roman" w:hAnsi="Times New Roman"/>
              </w:rPr>
              <w:t xml:space="preserve"> wprowadzaj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cy/ Wyja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 xml:space="preserve">nienie </w:t>
            </w:r>
            <w:proofErr w:type="spellStart"/>
            <w:r>
              <w:rPr>
                <w:rFonts w:ascii="Times New Roman" w:hAnsi="Times New Roman"/>
              </w:rPr>
              <w:t>poszczeg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lnych</w:t>
            </w:r>
            <w:proofErr w:type="spellEnd"/>
            <w:r>
              <w:rPr>
                <w:rFonts w:ascii="Times New Roman" w:hAnsi="Times New Roman"/>
              </w:rPr>
              <w:t xml:space="preserve"> zagadnie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 xml:space="preserve">/Praca </w:t>
            </w:r>
            <w:r w:rsidR="007B0A04">
              <w:rPr>
                <w:rFonts w:ascii="Times New Roman" w:hAnsi="Times New Roman"/>
              </w:rPr>
              <w:t>z tekstem/Praca pod kierunkiem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r>
              <w:rPr>
                <w:rFonts w:ascii="Times New Roman" w:hAnsi="Times New Roman"/>
              </w:rPr>
              <w:t>Prezentacja/Praca pisemna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r>
              <w:rPr>
                <w:rFonts w:ascii="Times New Roman" w:hAnsi="Times New Roman"/>
              </w:rPr>
              <w:t>Praca magisterska</w:t>
            </w:r>
          </w:p>
        </w:tc>
      </w:tr>
      <w:tr w:rsidR="00DB1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F2" w:rsidRDefault="00FC3A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DB18F2" w:rsidTr="007B0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r>
              <w:rPr>
                <w:rFonts w:ascii="Times New Roman" w:hAnsi="Times New Roman"/>
              </w:rPr>
              <w:t>Analiza tekstu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r>
              <w:rPr>
                <w:rFonts w:ascii="Times New Roman" w:hAnsi="Times New Roman"/>
              </w:rPr>
              <w:t>Prezentacja/Praca pisemna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Praca magisterska</w:t>
            </w:r>
          </w:p>
          <w:p w:rsidR="00DB18F2" w:rsidRDefault="00FC3A71">
            <w:r>
              <w:rPr>
                <w:rFonts w:ascii="Times New Roman" w:hAnsi="Times New Roman"/>
              </w:rPr>
              <w:t>Karta oceny prezentacji</w:t>
            </w:r>
          </w:p>
        </w:tc>
      </w:tr>
      <w:tr w:rsidR="00DB1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r>
              <w:rPr>
                <w:rFonts w:ascii="Times New Roman" w:hAnsi="Times New Roman"/>
              </w:rPr>
              <w:t>Analiza tekstu/Burza 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zg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r>
              <w:rPr>
                <w:rFonts w:ascii="Times New Roman" w:hAnsi="Times New Roman"/>
              </w:rPr>
              <w:t>Prezentacja/Praca pisemna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Praca </w:t>
            </w:r>
            <w:r>
              <w:rPr>
                <w:rFonts w:ascii="Times New Roman" w:hAnsi="Times New Roman"/>
              </w:rPr>
              <w:t>magisterska</w:t>
            </w:r>
          </w:p>
          <w:p w:rsidR="00DB18F2" w:rsidRDefault="00FC3A71">
            <w:r>
              <w:rPr>
                <w:rFonts w:ascii="Times New Roman" w:hAnsi="Times New Roman"/>
              </w:rPr>
              <w:t>Karta oceny prezentacji</w:t>
            </w:r>
          </w:p>
        </w:tc>
      </w:tr>
      <w:tr w:rsidR="00DB18F2" w:rsidTr="007B0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r>
              <w:rPr>
                <w:rFonts w:ascii="Times New Roman" w:hAnsi="Times New Roman"/>
              </w:rPr>
              <w:t>Praca badawcza pod kierunkiem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r>
              <w:rPr>
                <w:rFonts w:ascii="Times New Roman" w:hAnsi="Times New Roman"/>
              </w:rPr>
              <w:t>Praca pisemna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r>
              <w:rPr>
                <w:rFonts w:ascii="Times New Roman" w:hAnsi="Times New Roman"/>
              </w:rPr>
              <w:t>Praca magisterska</w:t>
            </w:r>
          </w:p>
        </w:tc>
      </w:tr>
      <w:tr w:rsidR="00DB18F2" w:rsidTr="007B0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DB1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B18F2" w:rsidRDefault="00FC3A71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U_04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r>
              <w:rPr>
                <w:rFonts w:ascii="Times New Roman" w:hAnsi="Times New Roman"/>
              </w:rPr>
              <w:t>Praca badawcza pod kierunkiem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r>
              <w:rPr>
                <w:rFonts w:ascii="Times New Roman" w:hAnsi="Times New Roman"/>
              </w:rPr>
              <w:t>Prezentacja/Praca pisemna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Praca magisterska</w:t>
            </w:r>
          </w:p>
          <w:p w:rsidR="00DB18F2" w:rsidRDefault="00FC3A71">
            <w:r>
              <w:rPr>
                <w:rFonts w:ascii="Times New Roman" w:hAnsi="Times New Roman"/>
              </w:rPr>
              <w:t>Karta oceny prezentacji</w:t>
            </w:r>
          </w:p>
        </w:tc>
      </w:tr>
      <w:tr w:rsidR="00DB1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F2" w:rsidRDefault="00FC3A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DB1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r>
              <w:rPr>
                <w:rFonts w:ascii="Times New Roman" w:hAnsi="Times New Roman"/>
              </w:rPr>
              <w:t>Dyskusja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r>
              <w:rPr>
                <w:rFonts w:ascii="Times New Roman" w:hAnsi="Times New Roman"/>
              </w:rPr>
              <w:t>Prezentacja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Praca magisterska</w:t>
            </w:r>
          </w:p>
          <w:p w:rsidR="00DB18F2" w:rsidRDefault="00FC3A71">
            <w:r>
              <w:rPr>
                <w:rFonts w:ascii="Times New Roman" w:hAnsi="Times New Roman"/>
              </w:rPr>
              <w:t>Karta oceny prezentacji</w:t>
            </w:r>
          </w:p>
        </w:tc>
      </w:tr>
      <w:tr w:rsidR="00DB18F2" w:rsidTr="007B0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r>
              <w:rPr>
                <w:rFonts w:ascii="Times New Roman" w:hAnsi="Times New Roman"/>
              </w:rPr>
              <w:t>Metoda obserwacji uczestnicz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cej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r>
              <w:rPr>
                <w:rFonts w:ascii="Times New Roman" w:hAnsi="Times New Roman"/>
              </w:rPr>
              <w:t>Obserwacja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Praca magisterska</w:t>
            </w:r>
          </w:p>
          <w:p w:rsidR="00DB18F2" w:rsidRDefault="00FC3A71">
            <w:r>
              <w:rPr>
                <w:rFonts w:ascii="Times New Roman" w:hAnsi="Times New Roman"/>
              </w:rPr>
              <w:t>Karta oceny prezentacji</w:t>
            </w:r>
          </w:p>
        </w:tc>
      </w:tr>
    </w:tbl>
    <w:p w:rsidR="007B0A04" w:rsidRDefault="007B0A04" w:rsidP="007B0A04">
      <w:pPr>
        <w:pBdr>
          <w:top w:val="nil"/>
        </w:pBdr>
        <w:rPr>
          <w:rFonts w:ascii="Times New Roman" w:eastAsia="Times New Roman" w:hAnsi="Times New Roman" w:cs="Times New Roman"/>
          <w:b/>
          <w:bCs/>
        </w:rPr>
      </w:pPr>
    </w:p>
    <w:p w:rsidR="007B0A04" w:rsidRDefault="007B0A0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:rsidR="00DB18F2" w:rsidRDefault="00FC3A71">
      <w:pPr>
        <w:pStyle w:val="Akapitzlist"/>
        <w:numPr>
          <w:ilvl w:val="0"/>
          <w:numId w:val="8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Kryteria oceny, wagi</w:t>
      </w:r>
      <w:r>
        <w:rPr>
          <w:rFonts w:ascii="Times New Roman" w:hAnsi="Times New Roman"/>
          <w:b/>
          <w:bCs/>
        </w:rPr>
        <w:t>…</w:t>
      </w:r>
    </w:p>
    <w:p w:rsidR="00DB18F2" w:rsidRDefault="00FC3A71">
      <w:pPr>
        <w:pStyle w:val="Akapitzlist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 Obecno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>na zaj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ciach z 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liwo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</w:t>
      </w:r>
      <w:r>
        <w:rPr>
          <w:rFonts w:ascii="Times New Roman" w:hAnsi="Times New Roman"/>
        </w:rPr>
        <w:t xml:space="preserve">ą </w:t>
      </w:r>
      <w:proofErr w:type="spellStart"/>
      <w:r>
        <w:rPr>
          <w:rFonts w:ascii="Times New Roman" w:hAnsi="Times New Roman"/>
        </w:rPr>
        <w:t>dw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ch</w:t>
      </w:r>
      <w:proofErr w:type="spellEnd"/>
      <w:r>
        <w:rPr>
          <w:rFonts w:ascii="Times New Roman" w:hAnsi="Times New Roman"/>
        </w:rPr>
        <w:t xml:space="preserve"> nieobecno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nieusprawiedliwionych w ci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gu semestru.</w:t>
      </w:r>
    </w:p>
    <w:p w:rsidR="00DB18F2" w:rsidRDefault="00FC3A71">
      <w:pPr>
        <w:pStyle w:val="Akapitzlist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2. Aktywny udzia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w dyskusjach.</w:t>
      </w:r>
    </w:p>
    <w:p w:rsidR="00DB18F2" w:rsidRDefault="00FC3A71">
      <w:pPr>
        <w:pStyle w:val="Akapitzlist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3. Na koniec pierwszego semestru studenci przedstawiaj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projekt pracy magisterskiej i zgromadzon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bibliografi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. Warunkiem zaliczenia pierwszego roku jest przedstawienie ostatecznej wersji pierwszego rozdzia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</w:rPr>
        <w:t>pracy magisterskiej. Pod koniec trzeciego semestru studenci przedstawiaj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drugi rozdzia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, pod koniec czwartego semestru ca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>pracy (tj. ostatni rozdzia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, wprowadzenie, wnioski, streszczenie, bibliografi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, spis tre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ci). Ocen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 xml:space="preserve">pracy promotor przedstawia w </w:t>
      </w:r>
      <w:r>
        <w:rPr>
          <w:rFonts w:ascii="Times New Roman" w:hAnsi="Times New Roman"/>
        </w:rPr>
        <w:t>recenzji promotorskiej.</w:t>
      </w:r>
    </w:p>
    <w:p w:rsidR="00DB18F2" w:rsidRDefault="00FC3A71">
      <w:pPr>
        <w:pStyle w:val="Akapitzlist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Szczeg</w:t>
      </w:r>
      <w:r>
        <w:rPr>
          <w:rFonts w:ascii="Times New Roman" w:hAnsi="Times New Roman"/>
        </w:rPr>
        <w:t>ół</w:t>
      </w:r>
      <w:r>
        <w:rPr>
          <w:rFonts w:ascii="Times New Roman" w:hAnsi="Times New Roman"/>
        </w:rPr>
        <w:t>owe kryteria oceny pracy studenta:</w:t>
      </w:r>
    </w:p>
    <w:p w:rsidR="00DB18F2" w:rsidRDefault="00FC3A71">
      <w:pPr>
        <w:pStyle w:val="Akapitzli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Kryteria oceny prezentacji i zada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>(mog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óż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w zale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od charakteru zadania):</w:t>
      </w:r>
    </w:p>
    <w:p w:rsidR="00DB18F2" w:rsidRDefault="00FC3A71">
      <w:pPr>
        <w:pStyle w:val="Akapitzli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terminowo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>wykonania zadania,</w:t>
      </w:r>
    </w:p>
    <w:p w:rsidR="00DB18F2" w:rsidRDefault="00FC3A71">
      <w:pPr>
        <w:pStyle w:val="Akapitzli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zgodno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>z instrukcj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(r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wnie</w:t>
      </w:r>
      <w:r>
        <w:rPr>
          <w:rFonts w:ascii="Times New Roman" w:hAnsi="Times New Roman"/>
        </w:rPr>
        <w:t>ż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zakresie formatowania),</w:t>
      </w:r>
    </w:p>
    <w:p w:rsidR="00DB18F2" w:rsidRDefault="00FC3A71">
      <w:pPr>
        <w:pStyle w:val="Akapitzli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komple</w:t>
      </w:r>
      <w:r>
        <w:rPr>
          <w:rFonts w:ascii="Times New Roman" w:hAnsi="Times New Roman"/>
        </w:rPr>
        <w:t>tno</w:t>
      </w:r>
      <w:r>
        <w:rPr>
          <w:rFonts w:ascii="Times New Roman" w:hAnsi="Times New Roman"/>
        </w:rPr>
        <w:t>ść</w:t>
      </w:r>
      <w:r>
        <w:rPr>
          <w:rFonts w:ascii="Times New Roman" w:hAnsi="Times New Roman"/>
        </w:rPr>
        <w:t>,</w:t>
      </w:r>
    </w:p>
    <w:p w:rsidR="00DB18F2" w:rsidRDefault="00FC3A71">
      <w:pPr>
        <w:pStyle w:val="Akapitzli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klarowno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>i logika wywodu,</w:t>
      </w:r>
    </w:p>
    <w:p w:rsidR="00DB18F2" w:rsidRDefault="00FC3A71">
      <w:pPr>
        <w:pStyle w:val="Akapitzli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wnikliwo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>i jako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>argumentacji,</w:t>
      </w:r>
    </w:p>
    <w:p w:rsidR="00DB18F2" w:rsidRDefault="00FC3A71">
      <w:pPr>
        <w:pStyle w:val="Akapitzli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organizacja tre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i zgodno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>tre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z tematem pracy,</w:t>
      </w:r>
    </w:p>
    <w:p w:rsidR="00DB18F2" w:rsidRDefault="00FC3A71">
      <w:pPr>
        <w:pStyle w:val="Akapitzli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poprawno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>raportu z bada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 xml:space="preserve">i </w:t>
      </w:r>
      <w:proofErr w:type="spellStart"/>
      <w:r>
        <w:rPr>
          <w:rFonts w:ascii="Times New Roman" w:hAnsi="Times New Roman"/>
        </w:rPr>
        <w:t>wniosk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w,</w:t>
      </w:r>
    </w:p>
    <w:p w:rsidR="00DB18F2" w:rsidRDefault="00FC3A71">
      <w:pPr>
        <w:pStyle w:val="Akapitzli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 liczba, </w:t>
      </w:r>
      <w:proofErr w:type="spellStart"/>
      <w:r>
        <w:rPr>
          <w:rFonts w:ascii="Times New Roman" w:hAnsi="Times New Roman"/>
        </w:rPr>
        <w:t>dob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r i dokumentacja </w:t>
      </w:r>
      <w:proofErr w:type="spellStart"/>
      <w:r>
        <w:rPr>
          <w:rFonts w:ascii="Times New Roman" w:hAnsi="Times New Roman"/>
        </w:rPr>
        <w:t>ź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de</w:t>
      </w:r>
      <w:r>
        <w:rPr>
          <w:rFonts w:ascii="Times New Roman" w:hAnsi="Times New Roman"/>
        </w:rPr>
        <w:t>ł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(odpowiednio styl MLA),</w:t>
      </w:r>
    </w:p>
    <w:p w:rsidR="00DB18F2" w:rsidRDefault="00FC3A71">
      <w:pPr>
        <w:pStyle w:val="Akapitzli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poprawno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zykowa </w:t>
      </w:r>
      <w:r>
        <w:rPr>
          <w:rFonts w:ascii="Times New Roman" w:hAnsi="Times New Roman"/>
        </w:rPr>
        <w:t>(styl, gramatyka, 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ownictwo, pisownia), w tym prawid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owe zastosowanie rejestru akademickiego.</w:t>
      </w:r>
    </w:p>
    <w:p w:rsidR="00DB18F2" w:rsidRDefault="00DB18F2">
      <w:pPr>
        <w:pStyle w:val="Akapitzlist"/>
        <w:rPr>
          <w:rFonts w:ascii="Times New Roman" w:eastAsia="Times New Roman" w:hAnsi="Times New Roman" w:cs="Times New Roman"/>
        </w:rPr>
      </w:pPr>
    </w:p>
    <w:p w:rsidR="00DB18F2" w:rsidRDefault="00FC3A71">
      <w:pPr>
        <w:pStyle w:val="Akapitzli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Praca magisterska jest oceniana na podstawie nast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puj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cych </w:t>
      </w:r>
      <w:proofErr w:type="spellStart"/>
      <w:r>
        <w:rPr>
          <w:rFonts w:ascii="Times New Roman" w:hAnsi="Times New Roman"/>
        </w:rPr>
        <w:t>kryteri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en-US"/>
        </w:rPr>
        <w:t xml:space="preserve">w: </w:t>
      </w:r>
    </w:p>
    <w:p w:rsidR="00DB18F2" w:rsidRDefault="00FC3A71">
      <w:pPr>
        <w:pStyle w:val="Akapitzli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zgodno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>tematu i charakteru pracy z kierunkowymi efektami kszta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cenia,</w:t>
      </w:r>
    </w:p>
    <w:p w:rsidR="00DB18F2" w:rsidRDefault="00FC3A71">
      <w:pPr>
        <w:pStyle w:val="Akapitzli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zgodno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>tre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pracy z tematem okre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lonym w tytule,</w:t>
      </w:r>
    </w:p>
    <w:p w:rsidR="00DB18F2" w:rsidRDefault="00FC3A71">
      <w:pPr>
        <w:pStyle w:val="Akapitzli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ocena uk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adu pracy, struktury, podzia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 tre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ci, kolejno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rozdzia</w:t>
      </w:r>
      <w:r>
        <w:rPr>
          <w:rFonts w:ascii="Times New Roman" w:hAnsi="Times New Roman"/>
        </w:rPr>
        <w:t>łó</w:t>
      </w:r>
      <w:r>
        <w:rPr>
          <w:rFonts w:ascii="Times New Roman" w:hAnsi="Times New Roman"/>
        </w:rPr>
        <w:t>w, kompletno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tez, itp.,</w:t>
      </w:r>
    </w:p>
    <w:p w:rsidR="00DB18F2" w:rsidRDefault="00FC3A71">
      <w:pPr>
        <w:pStyle w:val="Akapitzli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merytoryczna ocena pracy, w tym samodzielno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>my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lenia, zakres, w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rym praca stanowi nowe uj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cie problemu,</w:t>
      </w:r>
    </w:p>
    <w:p w:rsidR="00DB18F2" w:rsidRDefault="00FC3A71">
      <w:pPr>
        <w:pStyle w:val="Akapitzli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wykaza</w:t>
      </w:r>
      <w:r>
        <w:rPr>
          <w:rFonts w:ascii="Times New Roman" w:hAnsi="Times New Roman"/>
        </w:rPr>
        <w:t>na znajomo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 xml:space="preserve">literatury przedmiotu, </w:t>
      </w:r>
    </w:p>
    <w:p w:rsidR="00DB18F2" w:rsidRDefault="00FC3A71">
      <w:pPr>
        <w:pStyle w:val="Akapitzli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 charakterystyka doboru i wykorzystania </w:t>
      </w:r>
      <w:proofErr w:type="spellStart"/>
      <w:r>
        <w:rPr>
          <w:rFonts w:ascii="Times New Roman" w:hAnsi="Times New Roman"/>
        </w:rPr>
        <w:t>ź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de</w:t>
      </w:r>
      <w:r>
        <w:rPr>
          <w:rFonts w:ascii="Times New Roman" w:hAnsi="Times New Roman"/>
        </w:rPr>
        <w:t>ł</w:t>
      </w:r>
      <w:proofErr w:type="spellEnd"/>
      <w:r>
        <w:rPr>
          <w:rFonts w:ascii="Times New Roman" w:hAnsi="Times New Roman"/>
        </w:rPr>
        <w:t>,</w:t>
      </w:r>
    </w:p>
    <w:p w:rsidR="00DB18F2" w:rsidRDefault="00FC3A71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 ocena formalnej strony pracy (poprawno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zyka, opanowanie techniki pisania pracy, spis rzeczy, odsy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acze).</w:t>
      </w:r>
    </w:p>
    <w:p w:rsidR="007B0A04" w:rsidRDefault="007B0A04">
      <w:pPr>
        <w:pStyle w:val="Akapitzlist"/>
        <w:ind w:left="0"/>
        <w:rPr>
          <w:rFonts w:ascii="Times New Roman" w:eastAsia="Times New Roman" w:hAnsi="Times New Roman" w:cs="Times New Roman"/>
        </w:rPr>
      </w:pPr>
    </w:p>
    <w:p w:rsidR="00DB18F2" w:rsidRDefault="00FC3A71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Obci</w:t>
      </w:r>
      <w:r>
        <w:rPr>
          <w:rFonts w:ascii="Times New Roman" w:hAnsi="Times New Roman"/>
          <w:b/>
          <w:bCs/>
        </w:rPr>
        <w:t>ąż</w:t>
      </w:r>
      <w:r>
        <w:rPr>
          <w:rFonts w:ascii="Times New Roman" w:hAnsi="Times New Roman"/>
          <w:b/>
          <w:bCs/>
        </w:rPr>
        <w:t>enie prac</w:t>
      </w:r>
      <w:r>
        <w:rPr>
          <w:rFonts w:ascii="Times New Roman" w:hAnsi="Times New Roman"/>
          <w:b/>
          <w:bCs/>
        </w:rPr>
        <w:t xml:space="preserve">ą </w:t>
      </w:r>
      <w:r>
        <w:rPr>
          <w:rFonts w:ascii="Times New Roman" w:hAnsi="Times New Roman"/>
          <w:b/>
          <w:bCs/>
        </w:rPr>
        <w:t>studenta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24"/>
      </w:tblGrid>
      <w:tr w:rsidR="00DB18F2" w:rsidTr="007B0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r>
              <w:rPr>
                <w:rFonts w:ascii="Times New Roman" w:hAnsi="Times New Roman"/>
              </w:rPr>
              <w:t>Forma aktywno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Liczba </w:t>
            </w:r>
            <w:r>
              <w:rPr>
                <w:rFonts w:ascii="Times New Roman" w:hAnsi="Times New Roman"/>
              </w:rPr>
              <w:t>godzin</w:t>
            </w:r>
          </w:p>
        </w:tc>
      </w:tr>
      <w:tr w:rsidR="00DB18F2" w:rsidTr="007B0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120</w:t>
            </w:r>
          </w:p>
        </w:tc>
      </w:tr>
      <w:tr w:rsidR="00DB18F2" w:rsidTr="007B0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r>
              <w:rPr>
                <w:rFonts w:ascii="Times New Roman" w:hAnsi="Times New Roman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bookmarkStart w:id="0" w:name="_GoBack"/>
            <w:r>
              <w:rPr>
                <w:rFonts w:ascii="Times New Roman" w:hAnsi="Times New Roman"/>
                <w:b/>
                <w:bCs/>
                <w:lang w:val="ru-RU"/>
              </w:rPr>
              <w:t>540</w:t>
            </w:r>
            <w:bookmarkEnd w:id="0"/>
          </w:p>
        </w:tc>
      </w:tr>
    </w:tbl>
    <w:p w:rsidR="00DB18F2" w:rsidRDefault="00DB18F2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DB18F2" w:rsidRDefault="00FC3A71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  <w:lang w:val="de-DE"/>
        </w:rPr>
      </w:pPr>
      <w:proofErr w:type="spellStart"/>
      <w:r>
        <w:rPr>
          <w:rFonts w:ascii="Times New Roman" w:hAnsi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DB18F2" w:rsidTr="007B0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r>
              <w:rPr>
                <w:rFonts w:ascii="Times New Roman" w:hAnsi="Times New Roman"/>
              </w:rPr>
              <w:t>Literatura podstawowa</w:t>
            </w:r>
          </w:p>
        </w:tc>
      </w:tr>
      <w:tr w:rsidR="00DB18F2" w:rsidTr="001C06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it-IT"/>
              </w:rPr>
              <w:t>Materia</w:t>
            </w:r>
            <w:proofErr w:type="spellStart"/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ź</w:t>
            </w:r>
            <w:r>
              <w:rPr>
                <w:rFonts w:ascii="Times New Roman" w:hAnsi="Times New Roman"/>
              </w:rPr>
              <w:t>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owe</w:t>
            </w:r>
            <w:proofErr w:type="spellEnd"/>
            <w:r>
              <w:rPr>
                <w:rFonts w:ascii="Times New Roman" w:hAnsi="Times New Roman"/>
              </w:rPr>
              <w:t xml:space="preserve"> i krytyczne wybiera nauczyciel, dostosowuj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c je do tematyki prowadzonego seminarium. </w:t>
            </w:r>
          </w:p>
          <w:p w:rsidR="00DB18F2" w:rsidRDefault="00FC3A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Polecane </w:t>
            </w:r>
            <w:r>
              <w:rPr>
                <w:rFonts w:ascii="Times New Roman" w:hAnsi="Times New Roman"/>
              </w:rPr>
              <w:t>zbiory tekst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literatury ameryka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skiej:</w:t>
            </w:r>
          </w:p>
          <w:p w:rsidR="00DB18F2" w:rsidRDefault="00FC3A7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Lauter</w:t>
            </w:r>
            <w:proofErr w:type="spellEnd"/>
            <w:r>
              <w:rPr>
                <w:rFonts w:ascii="Times New Roman" w:hAnsi="Times New Roman"/>
                <w:lang w:val="en-US"/>
              </w:rPr>
              <w:t>, Paul (ed.). A Companion to American Literature and Culture.</w:t>
            </w:r>
          </w:p>
          <w:p w:rsidR="00DB18F2" w:rsidRDefault="00FC3A7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Baym</w:t>
            </w:r>
            <w:proofErr w:type="spellEnd"/>
            <w:r>
              <w:rPr>
                <w:rFonts w:ascii="Times New Roman" w:hAnsi="Times New Roman"/>
                <w:lang w:val="en-US"/>
              </w:rPr>
              <w:t>, Nina, et al., eds.  The Norton Anthology of American Literature.</w:t>
            </w:r>
          </w:p>
          <w:p w:rsidR="00DB18F2" w:rsidRDefault="00FC3A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Brady, Mary Pat, et. al. The Heath Anthology of American Literature: Modern </w:t>
            </w:r>
            <w:r>
              <w:rPr>
                <w:rFonts w:ascii="Times New Roman" w:hAnsi="Times New Roman"/>
                <w:lang w:val="en-US"/>
              </w:rPr>
              <w:t>Period : 1910-1945.</w:t>
            </w:r>
          </w:p>
          <w:p w:rsidR="00DB18F2" w:rsidRDefault="00FC3A7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Levander</w:t>
            </w:r>
            <w:proofErr w:type="spellEnd"/>
            <w:r>
              <w:rPr>
                <w:rFonts w:ascii="Times New Roman" w:hAnsi="Times New Roman"/>
                <w:lang w:val="en-US"/>
              </w:rPr>
              <w:t>, Caroline F.  and Robert S. Levine (eds.).  A Companion to American Literary Studies.</w:t>
            </w:r>
          </w:p>
          <w:p w:rsidR="00DB18F2" w:rsidRDefault="00FC3A71">
            <w:r>
              <w:rPr>
                <w:rFonts w:ascii="Times New Roman" w:hAnsi="Times New Roman"/>
                <w:lang w:val="en-US"/>
              </w:rPr>
              <w:t>Nagel James. Anthology of the American Short Story.</w:t>
            </w:r>
          </w:p>
        </w:tc>
      </w:tr>
      <w:tr w:rsidR="00DB18F2" w:rsidTr="007B0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spacing w:after="0" w:line="240" w:lineRule="auto"/>
            </w:pPr>
            <w:r>
              <w:rPr>
                <w:rFonts w:ascii="Times New Roman" w:hAnsi="Times New Roman"/>
              </w:rPr>
              <w:t>Literatura uzupe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niaj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ca</w:t>
            </w:r>
          </w:p>
        </w:tc>
      </w:tr>
      <w:tr w:rsidR="00DB1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F2" w:rsidRDefault="00FC3A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Polecana literatura z dziedziny literaturoznawstwa:</w:t>
            </w:r>
          </w:p>
          <w:p w:rsidR="00DB18F2" w:rsidRDefault="00FC3A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Barry, P. </w:t>
            </w:r>
            <w:r>
              <w:rPr>
                <w:rFonts w:ascii="Times New Roman" w:hAnsi="Times New Roman"/>
                <w:lang w:val="en-US"/>
              </w:rPr>
              <w:t>Beginning Theory. An Introduction to Literary and Cultural Theory.</w:t>
            </w:r>
          </w:p>
          <w:p w:rsidR="00DB18F2" w:rsidRDefault="00FC3A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Cooley, L., </w:t>
            </w:r>
            <w:proofErr w:type="spellStart"/>
            <w:r>
              <w:rPr>
                <w:rFonts w:ascii="Times New Roman" w:hAnsi="Times New Roman"/>
                <w:lang w:val="en-US"/>
              </w:rPr>
              <w:t>Lewkowicz</w:t>
            </w:r>
            <w:proofErr w:type="spellEnd"/>
            <w:r>
              <w:rPr>
                <w:rFonts w:ascii="Times New Roman" w:hAnsi="Times New Roman"/>
                <w:lang w:val="en-US"/>
              </w:rPr>
              <w:t>, J. Dissertation Writing in Practice. Turning Ideas into Text.</w:t>
            </w:r>
          </w:p>
          <w:p w:rsidR="00DB18F2" w:rsidRDefault="00FC3A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Cottrell, S. Critical Thinking Skills. Developing Effective Analysis and Argument.</w:t>
            </w:r>
          </w:p>
          <w:p w:rsidR="00DB18F2" w:rsidRDefault="00FC3A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Dobie, A. B. Theory i</w:t>
            </w:r>
            <w:r>
              <w:rPr>
                <w:rFonts w:ascii="Times New Roman" w:hAnsi="Times New Roman"/>
                <w:lang w:val="en-US"/>
              </w:rPr>
              <w:t>nto Practice. An Introduction to Literary Criticism.</w:t>
            </w:r>
          </w:p>
          <w:p w:rsidR="00DB18F2" w:rsidRDefault="00FC3A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Leitch, V. B. The Norton Anthology of Theory &amp; Criticism.</w:t>
            </w:r>
          </w:p>
          <w:p w:rsidR="00DB18F2" w:rsidRDefault="00FC3A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Lodge, D., ed. Modern Criticism and Theory. A Reader.</w:t>
            </w:r>
          </w:p>
          <w:p w:rsidR="00DB18F2" w:rsidRDefault="00FC3A71">
            <w:proofErr w:type="spellStart"/>
            <w:r>
              <w:rPr>
                <w:rFonts w:ascii="Times New Roman" w:hAnsi="Times New Roman"/>
                <w:lang w:val="en-US"/>
              </w:rPr>
              <w:t>Rivkin</w:t>
            </w:r>
            <w:proofErr w:type="spellEnd"/>
            <w:r>
              <w:rPr>
                <w:rFonts w:ascii="Times New Roman" w:hAnsi="Times New Roman"/>
                <w:lang w:val="en-US"/>
              </w:rPr>
              <w:t>, J., Ryan M., eds. Literary Theory: An Anthology.</w:t>
            </w:r>
          </w:p>
        </w:tc>
      </w:tr>
    </w:tbl>
    <w:p w:rsidR="00DB18F2" w:rsidRDefault="00DB18F2">
      <w:pPr>
        <w:widowControl w:val="0"/>
        <w:spacing w:line="240" w:lineRule="auto"/>
      </w:pPr>
    </w:p>
    <w:sectPr w:rsidR="00DB18F2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A71" w:rsidRDefault="00FC3A71">
      <w:pPr>
        <w:spacing w:after="0" w:line="240" w:lineRule="auto"/>
      </w:pPr>
      <w:r>
        <w:separator/>
      </w:r>
    </w:p>
  </w:endnote>
  <w:endnote w:type="continuationSeparator" w:id="0">
    <w:p w:rsidR="00FC3A71" w:rsidRDefault="00FC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A71" w:rsidRDefault="00FC3A71">
      <w:pPr>
        <w:spacing w:after="0" w:line="240" w:lineRule="auto"/>
      </w:pPr>
      <w:r>
        <w:separator/>
      </w:r>
    </w:p>
  </w:footnote>
  <w:footnote w:type="continuationSeparator" w:id="0">
    <w:p w:rsidR="00FC3A71" w:rsidRDefault="00FC3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6073"/>
    <w:multiLevelType w:val="hybridMultilevel"/>
    <w:tmpl w:val="DE7A96A2"/>
    <w:styleLink w:val="ImportedStyle1"/>
    <w:lvl w:ilvl="0" w:tplc="39E0BF6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92C37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24990C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4A403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9C296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744A18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FA88B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CC70B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CAE740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EFE6078"/>
    <w:multiLevelType w:val="hybridMultilevel"/>
    <w:tmpl w:val="DE7A96A2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FD2879BE">
        <w:start w:val="1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06C0BC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64AA90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E67E3C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762007A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DAF9DA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FAA550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0266EA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986B86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4"/>
    </w:lvlOverride>
  </w:num>
  <w:num w:numId="7">
    <w:abstractNumId w:val="1"/>
    <w:lvlOverride w:ilvl="0">
      <w:startOverride w:val="5"/>
    </w:lvlOverride>
  </w:num>
  <w:num w:numId="8">
    <w:abstractNumId w:val="1"/>
    <w:lvlOverride w:ilvl="0">
      <w:startOverride w:val="6"/>
    </w:lvlOverride>
  </w:num>
  <w:num w:numId="9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B18F2"/>
    <w:rsid w:val="001C063C"/>
    <w:rsid w:val="007B0A04"/>
    <w:rsid w:val="00DB18F2"/>
    <w:rsid w:val="00FC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B0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A04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B0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A04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1257</Words>
  <Characters>7543</Characters>
  <Application>Microsoft Office Word</Application>
  <DocSecurity>0</DocSecurity>
  <Lines>62</Lines>
  <Paragraphs>17</Paragraphs>
  <ScaleCrop>false</ScaleCrop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3</cp:revision>
  <dcterms:created xsi:type="dcterms:W3CDTF">2021-09-22T11:33:00Z</dcterms:created>
  <dcterms:modified xsi:type="dcterms:W3CDTF">2021-09-22T11:37:00Z</dcterms:modified>
</cp:coreProperties>
</file>