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4D" w:rsidRPr="004B4CD7" w:rsidRDefault="00DA5C24">
      <w:pPr>
        <w:rPr>
          <w:rStyle w:val="None"/>
          <w:rFonts w:ascii="Times New Roman" w:hAnsi="Times New Roman" w:cs="Times New Roman"/>
          <w:b/>
          <w:bCs/>
        </w:rPr>
      </w:pPr>
      <w:r w:rsidRPr="004B4CD7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261E4D" w:rsidRPr="004B4CD7" w:rsidRDefault="00261E4D">
      <w:pPr>
        <w:rPr>
          <w:rFonts w:ascii="Times New Roman" w:hAnsi="Times New Roman" w:cs="Times New Roman"/>
          <w:b/>
          <w:bCs/>
        </w:rPr>
      </w:pPr>
    </w:p>
    <w:p w:rsidR="00261E4D" w:rsidRPr="004B4CD7" w:rsidRDefault="00DA5C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B4CD7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261E4D" w:rsidRPr="004B4CD7"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Tłumaczenia literackie</w:t>
            </w:r>
          </w:p>
        </w:tc>
      </w:tr>
      <w:tr w:rsidR="00261E4D" w:rsidRPr="004B4CD7"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Literary Translation</w:t>
            </w:r>
          </w:p>
        </w:tc>
      </w:tr>
      <w:tr w:rsidR="00261E4D" w:rsidRPr="004B4CD7"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4B4C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4CD7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261E4D" w:rsidRPr="004B4CD7">
        <w:trPr>
          <w:trHeight w:val="51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Poziom studi</w:t>
            </w:r>
            <w:r w:rsidRPr="004B4C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261E4D" w:rsidRPr="004B4CD7">
        <w:trPr>
          <w:trHeight w:val="51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4B4C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4CD7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261E4D" w:rsidRPr="004B4CD7"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261E4D" w:rsidRPr="004B4CD7"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261E4D" w:rsidRPr="004B4CD7" w:rsidRDefault="00261E4D" w:rsidP="004B4CD7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261E4D" w:rsidRPr="004B4CD7" w:rsidRDefault="00261E4D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261E4D" w:rsidRPr="004B4CD7">
        <w:trPr>
          <w:trHeight w:val="54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Dr Robert Looby, prof. KUL</w:t>
            </w:r>
          </w:p>
        </w:tc>
      </w:tr>
    </w:tbl>
    <w:p w:rsidR="00261E4D" w:rsidRPr="004B4CD7" w:rsidRDefault="00261E4D" w:rsidP="004B4CD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61E4D" w:rsidRPr="004B4CD7" w:rsidRDefault="00261E4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61E4D" w:rsidRPr="004B4CD7" w:rsidRDefault="00261E4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261E4D" w:rsidRPr="004B4CD7">
        <w:trPr>
          <w:trHeight w:val="82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Forma zajęć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261E4D" w:rsidRPr="004B4CD7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261E4D" w:rsidRPr="004B4CD7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</w:tr>
      <w:tr w:rsidR="00261E4D" w:rsidRPr="004B4CD7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</w:tr>
      <w:tr w:rsidR="00261E4D" w:rsidRPr="004B4CD7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</w:tr>
      <w:tr w:rsidR="00261E4D" w:rsidRPr="004B4CD7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</w:tr>
      <w:tr w:rsidR="00261E4D" w:rsidRPr="004B4CD7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</w:tr>
      <w:tr w:rsidR="00261E4D" w:rsidRPr="004B4CD7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</w:tr>
      <w:tr w:rsidR="00261E4D" w:rsidRPr="004B4CD7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</w:tr>
      <w:tr w:rsidR="00261E4D" w:rsidRPr="004B4CD7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</w:tr>
      <w:tr w:rsidR="00261E4D" w:rsidRPr="004B4CD7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</w:tr>
      <w:tr w:rsidR="00261E4D" w:rsidRPr="004B4CD7">
        <w:trPr>
          <w:trHeight w:val="51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</w:tr>
      <w:tr w:rsidR="00261E4D" w:rsidRPr="004B4CD7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</w:tr>
      <w:tr w:rsidR="00261E4D" w:rsidRPr="004B4CD7"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E4D" w:rsidRPr="004B4CD7" w:rsidRDefault="00261E4D">
            <w:pPr>
              <w:rPr>
                <w:rFonts w:ascii="Times New Roman" w:hAnsi="Times New Roman" w:cs="Times New Roman"/>
              </w:rPr>
            </w:pPr>
          </w:p>
        </w:tc>
      </w:tr>
    </w:tbl>
    <w:p w:rsidR="00261E4D" w:rsidRPr="004B4CD7" w:rsidRDefault="00261E4D" w:rsidP="004B4CD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61E4D" w:rsidRPr="004B4CD7" w:rsidRDefault="00261E4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61E4D" w:rsidRPr="004B4CD7" w:rsidRDefault="00261E4D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261E4D" w:rsidRPr="00905827">
        <w:trPr>
          <w:trHeight w:val="217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znajomość gramatyki i leksyki języka angielskiego i polskiego </w:t>
            </w:r>
          </w:p>
          <w:p w:rsidR="00261E4D" w:rsidRPr="004B4CD7" w:rsidRDefault="00DA5C24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umiejętność interpretacji tekst</w:t>
            </w:r>
            <w:r w:rsidRPr="004B4C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w pisanych i m</w:t>
            </w:r>
            <w:r w:rsidRPr="004B4C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wionych</w:t>
            </w:r>
          </w:p>
          <w:p w:rsidR="00261E4D" w:rsidRPr="004B4CD7" w:rsidRDefault="00DA5C24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umiejętność formułowania opinii krytycznych o wytworach kultury na podstawie wiedzy naukowej i doświadczenia </w:t>
            </w:r>
          </w:p>
          <w:p w:rsidR="00261E4D" w:rsidRPr="004B4CD7" w:rsidRDefault="00DA5C24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umiejętność argumentowania z wykorzystaniem własnych pogląd</w:t>
            </w:r>
            <w:r w:rsidRPr="004B4C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w oraz pogląd</w:t>
            </w:r>
            <w:r w:rsidRPr="004B4C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w innych autor</w:t>
            </w:r>
            <w:r w:rsidRPr="004B4C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w</w:t>
            </w:r>
          </w:p>
          <w:p w:rsidR="00261E4D" w:rsidRPr="004B4CD7" w:rsidRDefault="00DA5C2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samodzielność w wykonywaniu działań oraz w integrowaniu i zastosowaniu wiedzy z różnych dyscyplin</w:t>
            </w:r>
          </w:p>
          <w:p w:rsidR="00261E4D" w:rsidRPr="004B4CD7" w:rsidRDefault="00DA5C2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poziom języka początkowo B2+/C1</w:t>
            </w:r>
          </w:p>
        </w:tc>
      </w:tr>
    </w:tbl>
    <w:p w:rsidR="00261E4D" w:rsidRPr="004B4CD7" w:rsidRDefault="00261E4D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  <w:lang w:val="pl-PL"/>
        </w:rPr>
      </w:pPr>
    </w:p>
    <w:p w:rsidR="00261E4D" w:rsidRPr="004B4CD7" w:rsidRDefault="00261E4D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lang w:val="pl-PL"/>
        </w:rPr>
      </w:pPr>
    </w:p>
    <w:p w:rsidR="00261E4D" w:rsidRPr="004B4CD7" w:rsidRDefault="00261E4D">
      <w:pPr>
        <w:widowControl w:val="0"/>
        <w:spacing w:after="0" w:line="240" w:lineRule="auto"/>
        <w:rPr>
          <w:rFonts w:ascii="Times New Roman" w:hAnsi="Times New Roman" w:cs="Times New Roman"/>
          <w:lang w:val="pl-PL"/>
        </w:rPr>
      </w:pPr>
    </w:p>
    <w:p w:rsidR="00261E4D" w:rsidRPr="004B4CD7" w:rsidRDefault="00DA5C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4B4CD7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4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261E4D" w:rsidRPr="00905827">
        <w:trPr>
          <w:trHeight w:val="54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ru-RU"/>
              </w:rPr>
              <w:t xml:space="preserve">C1 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Zapoznanie z metodologią tłumaczeń pisemnych związanych z zagadnieniami literackimi.</w:t>
            </w:r>
          </w:p>
        </w:tc>
      </w:tr>
      <w:tr w:rsidR="00261E4D" w:rsidRPr="00905827">
        <w:trPr>
          <w:trHeight w:val="5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C2 Zapoznanie z warsztatem tłumacza w oparciu o teorie tłumaczeń poparte ćwiczeniami praktycznymi nad przekładem pisemnym.</w:t>
            </w:r>
          </w:p>
        </w:tc>
      </w:tr>
    </w:tbl>
    <w:p w:rsidR="00261E4D" w:rsidRPr="004B4CD7" w:rsidRDefault="00261E4D" w:rsidP="004B4CD7">
      <w:pPr>
        <w:pStyle w:val="Akapitzlist"/>
        <w:widowControl w:val="0"/>
        <w:spacing w:line="240" w:lineRule="auto"/>
        <w:ind w:left="1381"/>
        <w:rPr>
          <w:rFonts w:ascii="Times New Roman" w:hAnsi="Times New Roman" w:cs="Times New Roman"/>
          <w:lang w:val="pl-PL"/>
        </w:rPr>
      </w:pPr>
    </w:p>
    <w:p w:rsidR="00261E4D" w:rsidRPr="004B4CD7" w:rsidRDefault="00261E4D">
      <w:pPr>
        <w:spacing w:after="0"/>
        <w:rPr>
          <w:rFonts w:ascii="Times New Roman" w:hAnsi="Times New Roman" w:cs="Times New Roman"/>
          <w:lang w:val="pl-PL"/>
        </w:rPr>
      </w:pPr>
    </w:p>
    <w:p w:rsidR="00261E4D" w:rsidRPr="004B4CD7" w:rsidRDefault="00DA5C2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lang w:val="pl-PL"/>
        </w:rPr>
      </w:pPr>
      <w:r w:rsidRPr="004B4CD7">
        <w:rPr>
          <w:rStyle w:val="None"/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r w:rsidRPr="004B4CD7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4B4CD7">
        <w:rPr>
          <w:rStyle w:val="None"/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9062" w:type="dxa"/>
        <w:tblInd w:w="4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261E4D" w:rsidRPr="004B4CD7">
        <w:trPr>
          <w:trHeight w:val="116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E4D" w:rsidRPr="004B4CD7" w:rsidRDefault="00DA5C24">
            <w:pPr>
              <w:jc w:val="center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E4D" w:rsidRPr="004B4CD7" w:rsidRDefault="00DA5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E4D" w:rsidRPr="004B4CD7" w:rsidRDefault="00DA5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261E4D" w:rsidRPr="004B4CD7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61E4D" w:rsidRPr="004B4CD7"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demonstruje wiedzę z zakresu technik tłumaczeniowych w odniesieniu do różnych typ</w:t>
            </w:r>
            <w:r w:rsidRPr="004B4C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w tekst</w:t>
            </w:r>
            <w:r w:rsidRPr="004B4C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w i zadań translatorski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 w:rsidP="004B4CD7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4CD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ST_W07, ST_W02</w:t>
            </w:r>
          </w:p>
        </w:tc>
      </w:tr>
      <w:tr w:rsidR="00261E4D" w:rsidRPr="004B4CD7">
        <w:trPr>
          <w:trHeight w:val="5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lastRenderedPageBreak/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Student identyfikuje podstawowe mechanizmy i problemy translacji w obrębie języka angielskiego i polskiego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ST_W04</w:t>
            </w:r>
          </w:p>
        </w:tc>
      </w:tr>
      <w:tr w:rsidR="00261E4D" w:rsidRPr="004B4CD7">
        <w:trPr>
          <w:trHeight w:val="80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Student rozumie wpływ kontekstu kulturowego oraz zastosowanego sposobu wyrażania treści na proces komunikacji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ST_WO8</w:t>
            </w:r>
          </w:p>
        </w:tc>
      </w:tr>
      <w:tr w:rsidR="00261E4D" w:rsidRPr="004B4CD7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4B4CD7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261E4D" w:rsidRPr="004B4CD7"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właściwie dobiera techniki przekładu różnych rodzaj</w:t>
            </w:r>
            <w:r w:rsidRPr="004B4C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w tekst</w:t>
            </w:r>
            <w:r w:rsidRPr="004B4C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w i wystąpień ustnych, zar</w:t>
            </w:r>
            <w:r w:rsidRPr="004B4C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wno og</w:t>
            </w:r>
            <w:r w:rsidRPr="004B4C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lnych jak i specjalistycznych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 w:rsidP="004B4CD7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4CD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ST_U03, ST_U02</w:t>
            </w:r>
          </w:p>
        </w:tc>
      </w:tr>
      <w:tr w:rsidR="00261E4D" w:rsidRPr="004B4CD7">
        <w:trPr>
          <w:trHeight w:val="106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dokonuje analizy tekstu lub wystąpienia ustnego i na jej podstawie wybiera właściwą </w:t>
            </w:r>
            <w:r w:rsidRPr="004B4CD7">
              <w:rPr>
                <w:rStyle w:val="None"/>
                <w:rFonts w:ascii="Times New Roman" w:hAnsi="Times New Roman" w:cs="Times New Roman"/>
                <w:lang w:val="it-IT"/>
              </w:rPr>
              <w:t>strategi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ę tłumaczeniową oraz dokonuje przekładu w obrębie języka polskiego i angielskiego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de-DE"/>
              </w:rPr>
              <w:t>ST_U05</w:t>
            </w:r>
          </w:p>
        </w:tc>
      </w:tr>
      <w:tr w:rsidR="00261E4D" w:rsidRPr="004B4CD7"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4B4CD7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61E4D" w:rsidRPr="004B4CD7">
        <w:trPr>
          <w:trHeight w:val="73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K_O1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Student wykazuje zainteresowanie pogłębianiem wiedzy oraz poszerzaniem kompetencji językowych podczas wykonywania powierzonych zadań tłumaczeniowych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 w:rsidP="004B4CD7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4CD7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ST_K03</w:t>
            </w:r>
          </w:p>
        </w:tc>
      </w:tr>
    </w:tbl>
    <w:p w:rsidR="00261E4D" w:rsidRPr="004B4CD7" w:rsidRDefault="00261E4D" w:rsidP="004B4CD7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61E4D" w:rsidRPr="004B4CD7" w:rsidRDefault="00261E4D">
      <w:pPr>
        <w:rPr>
          <w:rFonts w:ascii="Times New Roman" w:hAnsi="Times New Roman" w:cs="Times New Roman"/>
          <w:b/>
          <w:bCs/>
        </w:rPr>
      </w:pPr>
    </w:p>
    <w:p w:rsidR="00261E4D" w:rsidRPr="004B4CD7" w:rsidRDefault="00DA5C2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4B4CD7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261E4D" w:rsidRPr="004B4CD7">
        <w:trPr>
          <w:trHeight w:val="38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Badanie rynku</w:t>
            </w:r>
          </w:p>
          <w:p w:rsidR="00261E4D" w:rsidRPr="004B4CD7" w:rsidRDefault="00DA5C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Sczytanie przekład</w:t>
            </w:r>
            <w:r w:rsidRPr="004B4C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4CD7">
              <w:rPr>
                <w:rStyle w:val="None"/>
                <w:rFonts w:ascii="Times New Roman" w:hAnsi="Times New Roman" w:cs="Times New Roman"/>
              </w:rPr>
              <w:t>w</w:t>
            </w:r>
          </w:p>
          <w:p w:rsidR="00261E4D" w:rsidRPr="004B4CD7" w:rsidRDefault="00DA5C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Tworzenie listu często popełnionych błęd</w:t>
            </w:r>
            <w:r w:rsidRPr="004B4C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4CD7">
              <w:rPr>
                <w:rStyle w:val="None"/>
                <w:rFonts w:ascii="Times New Roman" w:hAnsi="Times New Roman" w:cs="Times New Roman"/>
              </w:rPr>
              <w:t>w</w:t>
            </w:r>
          </w:p>
          <w:p w:rsidR="00261E4D" w:rsidRPr="004B4CD7" w:rsidRDefault="00DA5C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Edytorstwo</w:t>
            </w:r>
          </w:p>
          <w:p w:rsidR="00261E4D" w:rsidRPr="004B4CD7" w:rsidRDefault="00DA5C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Problemy przekładu literackiego na przykładzie wybranego tekstu </w:t>
            </w:r>
          </w:p>
          <w:p w:rsidR="00261E4D" w:rsidRPr="004B4CD7" w:rsidRDefault="00DA5C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Intertekstualność</w:t>
            </w:r>
          </w:p>
          <w:p w:rsidR="00261E4D" w:rsidRPr="004B4CD7" w:rsidRDefault="00DA5C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Culturally Specific Items (CSI)</w:t>
            </w:r>
          </w:p>
          <w:p w:rsidR="00261E4D" w:rsidRPr="004B4CD7" w:rsidRDefault="00DA5C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Zmiana rejestr</w:t>
            </w:r>
            <w:r w:rsidRPr="004B4C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4CD7">
              <w:rPr>
                <w:rStyle w:val="None"/>
                <w:rFonts w:ascii="Times New Roman" w:hAnsi="Times New Roman" w:cs="Times New Roman"/>
              </w:rPr>
              <w:t>w</w:t>
            </w:r>
          </w:p>
          <w:p w:rsidR="00261E4D" w:rsidRPr="004B4CD7" w:rsidRDefault="00DA5C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Problemy przekładu wiersza na przykładzie wybranych ballad</w:t>
            </w:r>
          </w:p>
          <w:p w:rsidR="00261E4D" w:rsidRPr="004B4CD7" w:rsidRDefault="00DA5C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Rytm i rym w przekładzie</w:t>
            </w:r>
          </w:p>
          <w:p w:rsidR="00261E4D" w:rsidRPr="004B4CD7" w:rsidRDefault="00DA5C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Problemy przekładu literackiego na przykładzie wybranego tekstu</w:t>
            </w:r>
          </w:p>
          <w:p w:rsidR="00261E4D" w:rsidRPr="004B4CD7" w:rsidRDefault="00DA5C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Manipulacja przekładu literackiego na przykładzie wybranego tekstu</w:t>
            </w:r>
          </w:p>
          <w:p w:rsidR="00261E4D" w:rsidRPr="004B4CD7" w:rsidRDefault="00DA5C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Egzotyzacja i udomowienie</w:t>
            </w:r>
          </w:p>
          <w:p w:rsidR="00261E4D" w:rsidRPr="004B4CD7" w:rsidRDefault="00DA5C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Ekwiwalencja dynamiczna i formalna</w:t>
            </w:r>
          </w:p>
          <w:p w:rsidR="00261E4D" w:rsidRPr="004B4CD7" w:rsidRDefault="00DA5C2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Podsumowanie</w:t>
            </w:r>
          </w:p>
        </w:tc>
      </w:tr>
    </w:tbl>
    <w:p w:rsidR="00261E4D" w:rsidRDefault="00261E4D" w:rsidP="004B4CD7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4B4CD7" w:rsidRDefault="004B4CD7" w:rsidP="004B4CD7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4B4CD7" w:rsidRDefault="004B4CD7" w:rsidP="004B4CD7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4B4CD7" w:rsidRDefault="004B4CD7" w:rsidP="004B4CD7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4B4CD7" w:rsidRPr="004B4CD7" w:rsidRDefault="004B4CD7" w:rsidP="004B4CD7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261E4D" w:rsidRPr="004B4CD7" w:rsidRDefault="00261E4D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</w:p>
    <w:p w:rsidR="00261E4D" w:rsidRPr="004B4CD7" w:rsidRDefault="00DA5C2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pl-PL"/>
        </w:rPr>
      </w:pPr>
      <w:r w:rsidRPr="004B4CD7">
        <w:rPr>
          <w:rStyle w:val="None"/>
          <w:rFonts w:ascii="Times New Roman" w:hAnsi="Times New Roman" w:cs="Times New Roman"/>
          <w:b/>
          <w:bCs/>
          <w:lang w:val="pl-PL"/>
        </w:rPr>
        <w:lastRenderedPageBreak/>
        <w:t>Metody realizacji i weryfikacji efekt</w:t>
      </w:r>
      <w:r w:rsidRPr="004B4CD7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4B4CD7">
        <w:rPr>
          <w:rStyle w:val="None"/>
          <w:rFonts w:ascii="Times New Roman" w:hAnsi="Times New Roman" w:cs="Times New Roman"/>
          <w:b/>
          <w:bCs/>
          <w:lang w:val="pl-PL"/>
        </w:rPr>
        <w:t xml:space="preserve">w uczenia się </w:t>
      </w:r>
    </w:p>
    <w:tbl>
      <w:tblPr>
        <w:tblStyle w:val="TableNormal"/>
        <w:tblW w:w="8778" w:type="dxa"/>
        <w:tblInd w:w="4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9"/>
        <w:gridCol w:w="2562"/>
        <w:gridCol w:w="2691"/>
        <w:gridCol w:w="2466"/>
      </w:tblGrid>
      <w:tr w:rsidR="00261E4D" w:rsidRPr="004B4CD7">
        <w:trPr>
          <w:trHeight w:val="70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E4D" w:rsidRPr="004B4CD7" w:rsidRDefault="00DA5C24">
            <w:pPr>
              <w:jc w:val="center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E4D" w:rsidRPr="004B4CD7" w:rsidRDefault="00DA5C24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261E4D" w:rsidRPr="004B4CD7" w:rsidRDefault="00DA5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E4D" w:rsidRPr="004B4CD7" w:rsidRDefault="00DA5C24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261E4D" w:rsidRPr="004B4CD7" w:rsidRDefault="00DA5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E4D" w:rsidRPr="004B4CD7" w:rsidRDefault="00DA5C24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261E4D" w:rsidRPr="004B4CD7" w:rsidRDefault="00DA5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261E4D" w:rsidRPr="004B4CD7">
        <w:trPr>
          <w:trHeight w:val="270"/>
        </w:trPr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E4D" w:rsidRPr="004B4CD7" w:rsidRDefault="00DA5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61E4D" w:rsidRPr="004B4CD7">
        <w:trPr>
          <w:trHeight w:val="54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Dyskusja, Praca z tekstem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Obserwacja, praca pisemna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261E4D" w:rsidRPr="004B4CD7">
        <w:trPr>
          <w:trHeight w:val="54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Dyskusja, Praca z tekstem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Obserwacja, praca pisemna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261E4D" w:rsidRPr="004B4CD7">
        <w:trPr>
          <w:trHeight w:val="54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Dyskusja, Praca z tekstem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Obserwacja, praca pisemna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261E4D" w:rsidRPr="004B4CD7">
        <w:trPr>
          <w:trHeight w:val="270"/>
        </w:trPr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E4D" w:rsidRPr="004B4CD7" w:rsidRDefault="00DA5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4B4CD7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261E4D" w:rsidRPr="004B4CD7">
        <w:trPr>
          <w:trHeight w:val="54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Dyskusja, Analiza tekstu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Obserwacja, praca pisemna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261E4D" w:rsidRPr="004B4CD7">
        <w:trPr>
          <w:trHeight w:val="54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Dyskusja, Analiza tekstu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Obserwacja, praca pisemna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261E4D" w:rsidRPr="004B4CD7">
        <w:trPr>
          <w:trHeight w:val="270"/>
        </w:trPr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E4D" w:rsidRPr="004B4CD7" w:rsidRDefault="00DA5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4B4CD7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61E4D" w:rsidRPr="004B4CD7">
        <w:trPr>
          <w:trHeight w:val="54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Dyskusja, Praca w parach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Obserwacja, praca pisemna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</w:tbl>
    <w:p w:rsidR="00261E4D" w:rsidRPr="004B4CD7" w:rsidRDefault="00261E4D" w:rsidP="004B4CD7">
      <w:pPr>
        <w:pStyle w:val="Akapitzlist"/>
        <w:widowControl w:val="0"/>
        <w:spacing w:line="240" w:lineRule="auto"/>
        <w:ind w:left="1466"/>
        <w:rPr>
          <w:rFonts w:ascii="Times New Roman" w:hAnsi="Times New Roman" w:cs="Times New Roman"/>
        </w:rPr>
      </w:pPr>
    </w:p>
    <w:p w:rsidR="00261E4D" w:rsidRPr="004B4CD7" w:rsidRDefault="00DA5C2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4B4CD7">
        <w:rPr>
          <w:rFonts w:ascii="Times New Roman" w:hAnsi="Times New Roman" w:cs="Times New Roman"/>
          <w:b/>
          <w:bCs/>
        </w:rPr>
        <w:t>Kryteria oceny, wagi</w:t>
      </w:r>
    </w:p>
    <w:p w:rsidR="00261E4D" w:rsidRPr="004B4CD7" w:rsidRDefault="00DA5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Style w:val="None"/>
          <w:rFonts w:ascii="Times New Roman" w:eastAsia="Times New Roman" w:hAnsi="Times New Roman" w:cs="Times New Roman"/>
          <w:lang w:val="pl-PL"/>
        </w:rPr>
      </w:pPr>
      <w:r w:rsidRPr="004B4CD7">
        <w:rPr>
          <w:rStyle w:val="None"/>
          <w:rFonts w:ascii="Times New Roman" w:hAnsi="Times New Roman" w:cs="Times New Roman"/>
          <w:lang w:val="pl-PL"/>
        </w:rPr>
        <w:t>Studenci oceniani są na podstawie obserwacji prac podczas semestru (78%). W końcowej ocenie brane pod uwagę jest również zaangażowanie i aktywność studenta podczas zajęć oraz odpowiedzi ustne udzielane podczas zajęć na prośbę prowadzącego (22%). Do każdego zadania pisemnego będę zadawać pytania, żeby sprawdzić, czy praca została wykonana samodzielnie.</w:t>
      </w:r>
    </w:p>
    <w:p w:rsidR="00261E4D" w:rsidRPr="004B4CD7" w:rsidRDefault="00261E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  <w:lang w:val="pl-PL"/>
        </w:rPr>
      </w:pPr>
    </w:p>
    <w:p w:rsidR="00261E4D" w:rsidRPr="004B4CD7" w:rsidRDefault="00DA5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  <w:lang w:val="pl-PL"/>
        </w:rPr>
      </w:pPr>
      <w:r w:rsidRPr="004B4CD7">
        <w:rPr>
          <w:rStyle w:val="None"/>
          <w:rFonts w:ascii="Times New Roman" w:hAnsi="Times New Roman" w:cs="Times New Roman"/>
          <w:lang w:val="pl-PL"/>
        </w:rPr>
        <w:t>Studenci oceniani są według następującej skali:</w:t>
      </w:r>
    </w:p>
    <w:p w:rsidR="00261E4D" w:rsidRPr="004B4CD7" w:rsidRDefault="00261E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  <w:lang w:val="pl-PL"/>
        </w:rPr>
      </w:pPr>
    </w:p>
    <w:p w:rsidR="00261E4D" w:rsidRPr="004B4CD7" w:rsidRDefault="00DA5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r w:rsidRPr="004B4CD7">
        <w:rPr>
          <w:rStyle w:val="None"/>
          <w:rFonts w:ascii="Times New Roman" w:hAnsi="Times New Roman" w:cs="Times New Roman"/>
        </w:rPr>
        <w:t>5</w:t>
      </w:r>
      <w:r w:rsidRPr="004B4CD7">
        <w:rPr>
          <w:rStyle w:val="None"/>
          <w:rFonts w:ascii="Times New Roman" w:hAnsi="Times New Roman" w:cs="Times New Roman"/>
        </w:rPr>
        <w:tab/>
        <w:t>100-93%</w:t>
      </w:r>
    </w:p>
    <w:p w:rsidR="00261E4D" w:rsidRPr="004B4CD7" w:rsidRDefault="00DA5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r w:rsidRPr="004B4CD7">
        <w:rPr>
          <w:rStyle w:val="None"/>
          <w:rFonts w:ascii="Times New Roman" w:hAnsi="Times New Roman" w:cs="Times New Roman"/>
        </w:rPr>
        <w:t>4.5</w:t>
      </w:r>
      <w:r w:rsidRPr="004B4CD7">
        <w:rPr>
          <w:rStyle w:val="None"/>
          <w:rFonts w:ascii="Times New Roman" w:hAnsi="Times New Roman" w:cs="Times New Roman"/>
        </w:rPr>
        <w:tab/>
        <w:t>92-85%</w:t>
      </w:r>
    </w:p>
    <w:p w:rsidR="00261E4D" w:rsidRPr="004B4CD7" w:rsidRDefault="00DA5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r w:rsidRPr="004B4CD7">
        <w:rPr>
          <w:rStyle w:val="None"/>
          <w:rFonts w:ascii="Times New Roman" w:hAnsi="Times New Roman" w:cs="Times New Roman"/>
        </w:rPr>
        <w:t>4</w:t>
      </w:r>
      <w:r w:rsidRPr="004B4CD7">
        <w:rPr>
          <w:rStyle w:val="None"/>
          <w:rFonts w:ascii="Times New Roman" w:hAnsi="Times New Roman" w:cs="Times New Roman"/>
        </w:rPr>
        <w:tab/>
        <w:t>84-77%</w:t>
      </w:r>
    </w:p>
    <w:p w:rsidR="00261E4D" w:rsidRPr="004B4CD7" w:rsidRDefault="00DA5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r w:rsidRPr="004B4CD7">
        <w:rPr>
          <w:rStyle w:val="None"/>
          <w:rFonts w:ascii="Times New Roman" w:hAnsi="Times New Roman" w:cs="Times New Roman"/>
        </w:rPr>
        <w:t>3.5</w:t>
      </w:r>
      <w:r w:rsidRPr="004B4CD7">
        <w:rPr>
          <w:rStyle w:val="None"/>
          <w:rFonts w:ascii="Times New Roman" w:hAnsi="Times New Roman" w:cs="Times New Roman"/>
        </w:rPr>
        <w:tab/>
        <w:t>76-69%</w:t>
      </w:r>
    </w:p>
    <w:p w:rsidR="00261E4D" w:rsidRPr="004B4CD7" w:rsidRDefault="00DA5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r w:rsidRPr="004B4CD7">
        <w:rPr>
          <w:rStyle w:val="None"/>
          <w:rFonts w:ascii="Times New Roman" w:hAnsi="Times New Roman" w:cs="Times New Roman"/>
        </w:rPr>
        <w:t>3</w:t>
      </w:r>
      <w:r w:rsidRPr="004B4CD7">
        <w:rPr>
          <w:rStyle w:val="None"/>
          <w:rFonts w:ascii="Times New Roman" w:hAnsi="Times New Roman" w:cs="Times New Roman"/>
        </w:rPr>
        <w:tab/>
        <w:t>68-60%</w:t>
      </w:r>
    </w:p>
    <w:p w:rsidR="00261E4D" w:rsidRDefault="00DA5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hAnsi="Times New Roman" w:cs="Times New Roman"/>
        </w:rPr>
      </w:pPr>
      <w:r w:rsidRPr="004B4CD7">
        <w:rPr>
          <w:rStyle w:val="None"/>
          <w:rFonts w:ascii="Times New Roman" w:hAnsi="Times New Roman" w:cs="Times New Roman"/>
        </w:rPr>
        <w:t>2</w:t>
      </w:r>
      <w:r w:rsidRPr="004B4CD7">
        <w:rPr>
          <w:rStyle w:val="None"/>
          <w:rFonts w:ascii="Times New Roman" w:hAnsi="Times New Roman" w:cs="Times New Roman"/>
        </w:rPr>
        <w:tab/>
        <w:t>59-0%</w:t>
      </w:r>
    </w:p>
    <w:p w:rsidR="00905827" w:rsidRDefault="00905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</w:p>
    <w:p w:rsidR="00905827" w:rsidRDefault="00905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>Dozwolona ilość nieobecności: 2</w:t>
      </w:r>
    </w:p>
    <w:p w:rsidR="00905827" w:rsidRDefault="00905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</w:p>
    <w:p w:rsidR="00905827" w:rsidRDefault="00905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</w:p>
    <w:p w:rsidR="00905827" w:rsidRPr="004B4CD7" w:rsidRDefault="00905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  <w:bookmarkStart w:id="0" w:name="_GoBack"/>
      <w:bookmarkEnd w:id="0"/>
    </w:p>
    <w:p w:rsidR="00261E4D" w:rsidRPr="004B4CD7" w:rsidRDefault="00261E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Style w:val="None"/>
          <w:rFonts w:ascii="Times New Roman" w:eastAsia="Times New Roman" w:hAnsi="Times New Roman" w:cs="Times New Roman"/>
        </w:rPr>
      </w:pPr>
    </w:p>
    <w:p w:rsidR="00261E4D" w:rsidRPr="004B4CD7" w:rsidRDefault="00DA5C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B4CD7">
        <w:rPr>
          <w:rFonts w:ascii="Times New Roman" w:hAnsi="Times New Roman" w:cs="Times New Roman"/>
          <w:b/>
          <w:bCs/>
        </w:rPr>
        <w:lastRenderedPageBreak/>
        <w:t>Obciążenie pracą studenta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261E4D" w:rsidRPr="004B4CD7">
        <w:trPr>
          <w:trHeight w:val="27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261E4D" w:rsidRPr="004B4CD7">
        <w:trPr>
          <w:trHeight w:val="50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261E4D" w:rsidRPr="004B4CD7">
        <w:trPr>
          <w:trHeight w:val="50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 xml:space="preserve">60 </w:t>
            </w:r>
          </w:p>
        </w:tc>
      </w:tr>
    </w:tbl>
    <w:p w:rsidR="00261E4D" w:rsidRPr="004B4CD7" w:rsidRDefault="00261E4D" w:rsidP="004B4CD7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261E4D" w:rsidRPr="004B4CD7" w:rsidRDefault="00261E4D">
      <w:pPr>
        <w:spacing w:after="0"/>
        <w:rPr>
          <w:rFonts w:ascii="Times New Roman" w:hAnsi="Times New Roman" w:cs="Times New Roman"/>
          <w:b/>
          <w:bCs/>
        </w:rPr>
      </w:pPr>
    </w:p>
    <w:p w:rsidR="00261E4D" w:rsidRPr="004B4CD7" w:rsidRDefault="00DA5C2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lang w:val="de-DE"/>
        </w:rPr>
      </w:pPr>
      <w:r w:rsidRPr="004B4CD7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261E4D" w:rsidRPr="004B4CD7"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261E4D" w:rsidRPr="004B4CD7">
        <w:trPr>
          <w:trHeight w:val="52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Adamczyk-Garbowska, Monika. (1988)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 xml:space="preserve">Polskie tłumaczenia angielskiej literatury dziecięcej.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</w:rPr>
              <w:t>Problem krytyki przekładu</w:t>
            </w:r>
            <w:r w:rsidRPr="004B4CD7">
              <w:rPr>
                <w:rStyle w:val="None"/>
                <w:rFonts w:ascii="Times New Roman" w:hAnsi="Times New Roman" w:cs="Times New Roman"/>
              </w:rPr>
              <w:t xml:space="preserve">. Wrocław </w:t>
            </w:r>
          </w:p>
        </w:tc>
      </w:tr>
      <w:tr w:rsidR="00261E4D" w:rsidRPr="004B4CD7"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E4D" w:rsidRPr="004B4CD7" w:rsidRDefault="00DA5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4B4CD7" w:rsidRPr="004B4CD7"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</w:rPr>
              <w:t xml:space="preserve">Adamczyk-Garbowska, Monika. (1997) “W. M. Thackeray’s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</w:rPr>
              <w:t>The Rose and the Ring</w:t>
            </w:r>
            <w:r w:rsidRPr="004B4CD7">
              <w:rPr>
                <w:rStyle w:val="None"/>
                <w:rFonts w:ascii="Times New Roman" w:hAnsi="Times New Roman" w:cs="Times New Roman"/>
              </w:rPr>
              <w:t xml:space="preserve"> in Polish: Betwixt Translation and Adaptation,” in Leszek Kolek and Wojciech Nowicki, eds.,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</w:rPr>
              <w:t>Discourses of Literature: Studies in Honour of Alina Szala</w:t>
            </w:r>
            <w:r w:rsidRPr="004B4CD7">
              <w:rPr>
                <w:rStyle w:val="None"/>
                <w:rFonts w:ascii="Times New Roman" w:hAnsi="Times New Roman" w:cs="Times New Roman"/>
              </w:rPr>
              <w:t>, Lublin: UMCS.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2E2CB1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kern w:val="36"/>
              </w:rPr>
            </w:pPr>
            <w:hyperlink r:id="rId7" w:history="1">
              <w:r w:rsidR="004B4CD7" w:rsidRPr="004B4CD7">
                <w:rPr>
                  <w:rStyle w:val="Hyperlink0"/>
                  <w:rFonts w:ascii="Times New Roman" w:hAnsi="Times New Roman" w:cs="Times New Roman"/>
                  <w:kern w:val="36"/>
                </w:rPr>
                <w:t>Attardo</w:t>
              </w:r>
            </w:hyperlink>
            <w:r w:rsidR="004B4CD7" w:rsidRPr="004B4CD7">
              <w:rPr>
                <w:rStyle w:val="Hyperlink0"/>
                <w:rFonts w:ascii="Times New Roman" w:hAnsi="Times New Roman" w:cs="Times New Roman"/>
                <w:kern w:val="36"/>
              </w:rPr>
              <w:t>, Salvatore (</w:t>
            </w:r>
            <w:hyperlink r:id="rId8" w:history="1">
              <w:r w:rsidR="004B4CD7" w:rsidRPr="004B4CD7">
                <w:rPr>
                  <w:rStyle w:val="Hyperlink0"/>
                  <w:rFonts w:ascii="Times New Roman" w:hAnsi="Times New Roman" w:cs="Times New Roman"/>
                  <w:kern w:val="36"/>
                </w:rPr>
                <w:t>2002</w:t>
              </w:r>
            </w:hyperlink>
            <w:r w:rsidR="004B4CD7" w:rsidRPr="004B4CD7">
              <w:rPr>
                <w:rStyle w:val="Hyperlink0"/>
                <w:rFonts w:ascii="Times New Roman" w:hAnsi="Times New Roman" w:cs="Times New Roman"/>
                <w:kern w:val="36"/>
              </w:rPr>
              <w:t>) “</w:t>
            </w:r>
            <w:hyperlink r:id="rId9" w:history="1">
              <w:r w:rsidR="004B4CD7" w:rsidRPr="004B4CD7">
                <w:rPr>
                  <w:rStyle w:val="Hyperlink0"/>
                  <w:rFonts w:ascii="Times New Roman" w:hAnsi="Times New Roman" w:cs="Times New Roman"/>
                  <w:kern w:val="36"/>
                </w:rPr>
                <w:t>Translation and Humour: An Approach Based on the General Theory of Verbal Humour (GTVH)</w:t>
              </w:r>
            </w:hyperlink>
            <w:r w:rsidR="004B4CD7" w:rsidRPr="004B4CD7">
              <w:rPr>
                <w:rStyle w:val="Hyperlink0"/>
                <w:rFonts w:ascii="Times New Roman" w:hAnsi="Times New Roman" w:cs="Times New Roman"/>
                <w:kern w:val="36"/>
              </w:rPr>
              <w:t xml:space="preserve">,” in </w:t>
            </w:r>
            <w:hyperlink r:id="rId10" w:history="1">
              <w:r w:rsidR="004B4CD7" w:rsidRPr="004B4CD7">
                <w:rPr>
                  <w:rStyle w:val="Hyperlink1"/>
                  <w:rFonts w:eastAsia="Calibri"/>
                  <w:kern w:val="36"/>
                </w:rPr>
                <w:t>The Translator</w:t>
              </w:r>
            </w:hyperlink>
            <w:r w:rsidR="004B4CD7" w:rsidRPr="004B4CD7">
              <w:rPr>
                <w:rStyle w:val="Hyperlink1"/>
                <w:rFonts w:eastAsia="Calibri"/>
                <w:kern w:val="36"/>
              </w:rPr>
              <w:t xml:space="preserve"> </w:t>
            </w:r>
            <w:hyperlink r:id="rId11" w:history="1">
              <w:r w:rsidR="004B4CD7" w:rsidRPr="004B4CD7">
                <w:rPr>
                  <w:rStyle w:val="Hyperlink0"/>
                  <w:rFonts w:ascii="Times New Roman" w:hAnsi="Times New Roman" w:cs="Times New Roman"/>
                  <w:kern w:val="36"/>
                </w:rPr>
                <w:t>vol. 8: 2, (Special Issue. Translating Humour</w:t>
              </w:r>
            </w:hyperlink>
            <w:r w:rsidR="004B4CD7" w:rsidRPr="004B4CD7">
              <w:rPr>
                <w:rStyle w:val="Hyperlink0"/>
                <w:rFonts w:ascii="Times New Roman" w:hAnsi="Times New Roman" w:cs="Times New Roman"/>
                <w:kern w:val="36"/>
              </w:rPr>
              <w:t>), pp. 173-194.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Baker, M. (1992) </w:t>
            </w:r>
            <w:r w:rsidRPr="004B4CD7">
              <w:rPr>
                <w:rStyle w:val="Hyperlink1"/>
                <w:rFonts w:eastAsia="Calibri"/>
              </w:rPr>
              <w:t>In Other Words: a Coursebook on Translation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Routledge. 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Baker, M. (1998) </w:t>
            </w:r>
            <w:r w:rsidRPr="004B4CD7">
              <w:rPr>
                <w:rStyle w:val="Hyperlink1"/>
                <w:rFonts w:eastAsia="Calibri"/>
              </w:rPr>
              <w:t>Routledge Encyclopedia of Translation Studies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London; New York: Routledge.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>Baker, Mona (ed.) (</w:t>
            </w:r>
            <w:r w:rsidRPr="004B4CD7">
              <w:rPr>
                <w:rStyle w:val="None"/>
                <w:rFonts w:ascii="Times New Roman" w:hAnsi="Times New Roman" w:cs="Times New Roman"/>
                <w:kern w:val="36"/>
              </w:rPr>
              <w:t>2009)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 </w:t>
            </w:r>
            <w:r w:rsidRPr="004B4CD7">
              <w:rPr>
                <w:rStyle w:val="Hyperlink1"/>
                <w:rFonts w:eastAsia="Calibri"/>
              </w:rPr>
              <w:t>Translation Studies: Critical Concepts in Linguistics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 (4 volumes)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kern w:val="36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kern w:val="36"/>
                <w:lang w:val="pl-PL"/>
              </w:rPr>
              <w:t>London: Routledge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Balcerzan, Edward.  (1998) “Wobec tradycji,” in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 xml:space="preserve">Literatura z literatury 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Katowice: Słąsk. Series: Studia o Przekładzie nr. 6, pp. 92-106.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Bassnett, S. (2000) (2nd ed.) </w:t>
            </w:r>
            <w:r w:rsidRPr="004B4CD7">
              <w:rPr>
                <w:rStyle w:val="Hyperlink1"/>
                <w:rFonts w:eastAsia="Calibri"/>
              </w:rPr>
              <w:t>Translation Studies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London: Methuen.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Bassnett, S, and A. Lefevere. (1990) </w:t>
            </w:r>
            <w:r w:rsidRPr="004B4CD7">
              <w:rPr>
                <w:rStyle w:val="Hyperlink1"/>
                <w:rFonts w:eastAsia="Calibri"/>
              </w:rPr>
              <w:t>Translation, History, Culture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London: Cassell.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Bell, Roger T. (1991) </w:t>
            </w:r>
            <w:r w:rsidRPr="004B4CD7">
              <w:rPr>
                <w:rStyle w:val="Hyperlink1"/>
                <w:rFonts w:eastAsia="Calibri"/>
              </w:rPr>
              <w:t>Translation and translating: Theory and practice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London: Longman.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Berman, Anotine. (2009) “Przekład jako doświadczenie obcego” in Bukowski and Heydel.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Bukowski, P and Magda Heydel (2009)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 xml:space="preserve">Współczesne teorie przekładu. </w:t>
            </w:r>
            <w:r w:rsidRPr="004B4CD7">
              <w:rPr>
                <w:rStyle w:val="Hyperlink1"/>
                <w:rFonts w:eastAsia="Calibri"/>
              </w:rPr>
              <w:t>Antologie</w:t>
            </w:r>
            <w:r w:rsidRPr="004B4CD7">
              <w:rPr>
                <w:rStyle w:val="Hyperlink0"/>
                <w:rFonts w:ascii="Times New Roman" w:hAnsi="Times New Roman" w:cs="Times New Roman"/>
              </w:rPr>
              <w:t>.</w:t>
            </w:r>
          </w:p>
          <w:p w:rsidR="004B4CD7" w:rsidRPr="004B4CD7" w:rsidRDefault="004B4CD7" w:rsidP="004B4CD7">
            <w:pPr>
              <w:pStyle w:val="Index"/>
              <w:spacing w:after="0" w:line="240" w:lineRule="auto"/>
              <w:rPr>
                <w:rStyle w:val="None"/>
                <w:sz w:val="22"/>
                <w:szCs w:val="22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Burkhanov, Igor. (2003) </w:t>
            </w:r>
            <w:r w:rsidRPr="004B4CD7">
              <w:rPr>
                <w:rStyle w:val="Hyperlink1"/>
                <w:rFonts w:eastAsia="Calibri"/>
              </w:rPr>
              <w:t>Translation: theoretical prerequisites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 Rzeszów: Wyd UR.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Campbell, Stuart. (1998) </w:t>
            </w:r>
            <w:r w:rsidRPr="004B4CD7">
              <w:rPr>
                <w:rStyle w:val="Hyperlink1"/>
                <w:rFonts w:eastAsia="Calibri"/>
              </w:rPr>
              <w:t>Translation into the Second Language</w:t>
            </w:r>
            <w:r w:rsidRPr="004B4CD7">
              <w:rPr>
                <w:rStyle w:val="Hyperlink0"/>
                <w:rFonts w:ascii="Times New Roman" w:hAnsi="Times New Roman" w:cs="Times New Roman"/>
              </w:rPr>
              <w:t>.</w:t>
            </w:r>
            <w:r w:rsidRPr="004B4CD7">
              <w:rPr>
                <w:rStyle w:val="Hyperlink1"/>
                <w:rFonts w:eastAsia="Calibri"/>
              </w:rPr>
              <w:t xml:space="preserve"> 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London NY: Longman.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Catford, J. C. (1965) </w:t>
            </w:r>
            <w:r w:rsidRPr="004B4CD7">
              <w:rPr>
                <w:rStyle w:val="Hyperlink1"/>
                <w:rFonts w:eastAsia="Calibri"/>
              </w:rPr>
              <w:t>A Linguistic Theory of Translation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Oxford: OUP.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Chesterman, A. and E. Wagner.  (2002) </w:t>
            </w:r>
            <w:r w:rsidRPr="004B4CD7">
              <w:rPr>
                <w:rStyle w:val="Hyperlink1"/>
                <w:rFonts w:eastAsia="Calibri"/>
              </w:rPr>
              <w:t>Can Theory Help Translators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Manchester: St Jerome.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Ciechowski, Jan and Zbygniew Majchrowski eds. (1993)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Od Shakespeare'a do Szekspira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.</w:t>
            </w:r>
          </w:p>
          <w:p w:rsidR="004B4CD7" w:rsidRPr="004B4CD7" w:rsidRDefault="004B4CD7" w:rsidP="004B4CD7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Cygler, Hanna. (2004)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Przekład dowolny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. Poznań: Kurpisz.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Dą</w:t>
            </w:r>
            <w:r w:rsidRPr="004B4CD7">
              <w:rPr>
                <w:rStyle w:val="None"/>
                <w:rFonts w:ascii="Times New Roman" w:hAnsi="Times New Roman" w:cs="Times New Roman"/>
                <w:lang w:val="de-DE"/>
              </w:rPr>
              <w:t xml:space="preserve">bska-Prokop, U. (2000)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Mała encyklopedia przekładoznawstwa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, Częstochowa.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it-IT"/>
              </w:rPr>
              <w:t xml:space="preserve">Eco, Umberto. (2006) 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“</w:t>
            </w:r>
            <w:r w:rsidRPr="004B4CD7">
              <w:rPr>
                <w:rStyle w:val="None"/>
                <w:rFonts w:ascii="Times New Roman" w:hAnsi="Times New Roman" w:cs="Times New Roman"/>
                <w:lang w:val="de-DE"/>
              </w:rPr>
              <w:t>Do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świadczenie przekładu,”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Teksty Drugie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, nr. 6, 103-122.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Even-Zohar, Itamar. (2009) “Miejsce literatury tłumaczonej w polisystemie literackim” in Bukowski and Heydel.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Fast, Piotr. (2004)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Socjologiczne aspekty przekładu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. Katowice, Warszawa: Słąsk. Series: Studia o Przekładzie, nr. 16 (and series as a whole).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Fast, Piotr. (2010) “O granicach przekładalności” in Piotr Fast and Alina Świeściak,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Translatologiczne wyprawy i przechadzki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, Katowice: Śląsk, Seria Studia o Przekładzie, nr 27, pp. 9 –23.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Gentzler, E. (1993) </w:t>
            </w:r>
            <w:r w:rsidRPr="004B4CD7">
              <w:rPr>
                <w:rStyle w:val="Hyperlink1"/>
                <w:rFonts w:eastAsia="Calibri"/>
              </w:rPr>
              <w:t>Contemporary Translation Theories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London: Routledge. 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Gutt, Ernst-August. 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(2004)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Dystans kulturowy a przekład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. Krak</w:t>
            </w:r>
            <w:r w:rsidRPr="004B4C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4CD7">
              <w:rPr>
                <w:rStyle w:val="None"/>
                <w:rFonts w:ascii="Times New Roman" w:hAnsi="Times New Roman" w:cs="Times New Roman"/>
                <w:lang w:val="pt-PT"/>
              </w:rPr>
              <w:t>w: Universitas.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Linguistics. 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Hermans, T. ed. (1985) </w:t>
            </w:r>
            <w:r w:rsidRPr="004B4CD7">
              <w:rPr>
                <w:rStyle w:val="Hyperlink1"/>
                <w:rFonts w:eastAsia="Calibri"/>
              </w:rPr>
              <w:t>The Manipulation of Literature: Studies in Literary Translation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London: Croom-Helm. 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Holmes, J. (1970) </w:t>
            </w:r>
            <w:r w:rsidRPr="004B4CD7">
              <w:rPr>
                <w:rStyle w:val="Hyperlink1"/>
                <w:rFonts w:eastAsia="Calibri"/>
              </w:rPr>
              <w:t>The Nature of Translation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Bratislava. 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Hyun, Theresa and José Lambert, eds. (1995) </w:t>
            </w:r>
            <w:r w:rsidRPr="004B4CD7">
              <w:rPr>
                <w:rStyle w:val="Hyperlink1"/>
                <w:rFonts w:eastAsia="Calibri"/>
              </w:rPr>
              <w:t>Translation and modernization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 Tokyo: International Comparative Literature Association. Series: The force of vision: proceedings of the XIIIth Congress of the International Comparative Literature Association 4.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Kopczyński, Andrzej. (1980) </w:t>
            </w:r>
            <w:r w:rsidRPr="004B4CD7">
              <w:rPr>
                <w:rStyle w:val="Hyperlink1"/>
                <w:rFonts w:eastAsia="Calibri"/>
              </w:rPr>
              <w:t>Conference Interpreting</w:t>
            </w:r>
            <w:r w:rsidRPr="004B4CD7">
              <w:rPr>
                <w:rStyle w:val="Hyperlink0"/>
                <w:rFonts w:ascii="Times New Roman" w:hAnsi="Times New Roman" w:cs="Times New Roman"/>
              </w:rPr>
              <w:t>. Poznań: UAM.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>Kuhiwczak Piotr and Karin Littau, eds.</w:t>
            </w:r>
            <w:r w:rsidRPr="004B4CD7">
              <w:rPr>
                <w:rStyle w:val="Hyperlink1"/>
                <w:rFonts w:eastAsia="Calibri"/>
              </w:rPr>
              <w:t xml:space="preserve"> 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(2007) </w:t>
            </w:r>
            <w:r w:rsidRPr="004B4CD7">
              <w:rPr>
                <w:rStyle w:val="Hyperlink1"/>
                <w:rFonts w:eastAsia="Calibri"/>
              </w:rPr>
              <w:t>A Companion to Translation Studies</w:t>
            </w:r>
            <w:r w:rsidRPr="004B4CD7">
              <w:rPr>
                <w:rStyle w:val="Hyperlink0"/>
                <w:rFonts w:ascii="Times New Roman" w:hAnsi="Times New Roman" w:cs="Times New Roman"/>
              </w:rPr>
              <w:t>,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Kwieciński, Piotr. (2001) </w:t>
            </w:r>
            <w:r w:rsidRPr="004B4CD7">
              <w:rPr>
                <w:rStyle w:val="Hyperlink1"/>
                <w:rFonts w:eastAsia="Calibri"/>
              </w:rPr>
              <w:t>Disturbing Strangeness: Foreignisation and domestication in translating procedures in the context of cultural asymmetry</w:t>
            </w:r>
            <w:r w:rsidRPr="004B4CD7">
              <w:rPr>
                <w:rStyle w:val="Hyperlink0"/>
                <w:rFonts w:ascii="Times New Roman" w:hAnsi="Times New Roman" w:cs="Times New Roman"/>
              </w:rPr>
              <w:t>. Toruń: Edytor.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Lefevere, A.,ed. (1992) </w:t>
            </w:r>
            <w:r w:rsidRPr="004B4CD7">
              <w:rPr>
                <w:rStyle w:val="Hyperlink1"/>
                <w:rFonts w:eastAsia="Calibri"/>
              </w:rPr>
              <w:t>Translation/History/Culture: A Sourcebook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London: Routledge.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>Lefevere, A.,ed. (2009) “Ogórki Matki Courage” in Bukowski and Heydel.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Lewandowska-Tomaszczyk and Marcel Thelen, eds. 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(2000) </w:t>
            </w:r>
            <w:r w:rsidRPr="004B4CD7">
              <w:rPr>
                <w:rStyle w:val="Hyperlink1"/>
                <w:rFonts w:eastAsia="Calibri"/>
              </w:rPr>
              <w:t>3rd International Maastricht-Łódź Duo Colloquium on Translation and Meaning: Abstracts</w:t>
            </w:r>
            <w:r w:rsidRPr="004B4CD7">
              <w:rPr>
                <w:rStyle w:val="Hyperlink0"/>
                <w:rFonts w:ascii="Times New Roman" w:hAnsi="Times New Roman" w:cs="Times New Roman"/>
              </w:rPr>
              <w:t>. Łódź, Poland 23-24 September 2000 / Łódź: University Press.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Lewicki, Roman. </w:t>
            </w:r>
            <w:r w:rsidRPr="004B4CD7">
              <w:rPr>
                <w:rStyle w:val="Hyperlink1"/>
                <w:rFonts w:eastAsia="Calibri"/>
              </w:rPr>
              <w:t>Przekład - język - kultura</w:t>
            </w:r>
            <w:r w:rsidRPr="004B4CD7">
              <w:rPr>
                <w:rStyle w:val="Hyperlink0"/>
                <w:rFonts w:ascii="Times New Roman" w:hAnsi="Times New Roman" w:cs="Times New Roman"/>
              </w:rPr>
              <w:t>. Lublin: Wyd UMCS.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lastRenderedPageBreak/>
              <w:t xml:space="preserve">Munday, J. (2001) </w:t>
            </w:r>
            <w:r w:rsidRPr="004B4CD7">
              <w:rPr>
                <w:rStyle w:val="Hyperlink1"/>
                <w:rFonts w:eastAsia="Calibri"/>
              </w:rPr>
              <w:t>Introducing Translation Studies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London: Routledge.  </w:t>
            </w:r>
          </w:p>
          <w:p w:rsidR="004B4CD7" w:rsidRPr="004B4CD7" w:rsidRDefault="004B4CD7" w:rsidP="004B4CD7">
            <w:pPr>
              <w:rPr>
                <w:rStyle w:val="Hyperlink0"/>
                <w:rFonts w:ascii="Times New Roman" w:hAnsi="Times New Roman" w:cs="Times New Roman"/>
              </w:rPr>
            </w:pPr>
          </w:p>
          <w:p w:rsidR="004B4CD7" w:rsidRPr="004B4CD7" w:rsidRDefault="002E2CB1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kern w:val="36"/>
              </w:rPr>
            </w:pPr>
            <w:hyperlink r:id="rId12" w:history="1">
              <w:r w:rsidR="004B4CD7" w:rsidRPr="004B4CD7">
                <w:rPr>
                  <w:rStyle w:val="Hyperlink0"/>
                  <w:rFonts w:ascii="Times New Roman" w:hAnsi="Times New Roman" w:cs="Times New Roman"/>
                  <w:kern w:val="36"/>
                </w:rPr>
                <w:t>Munday</w:t>
              </w:r>
            </w:hyperlink>
            <w:r w:rsidR="004B4CD7" w:rsidRPr="004B4CD7">
              <w:rPr>
                <w:rStyle w:val="Hyperlink0"/>
                <w:rFonts w:ascii="Times New Roman" w:hAnsi="Times New Roman" w:cs="Times New Roman"/>
                <w:kern w:val="36"/>
              </w:rPr>
              <w:t xml:space="preserve">, Jeremy (2009) </w:t>
            </w:r>
            <w:r w:rsidR="004B4CD7" w:rsidRPr="004B4CD7">
              <w:rPr>
                <w:rStyle w:val="Hyperlink1"/>
                <w:rFonts w:eastAsia="Calibri"/>
                <w:kern w:val="36"/>
              </w:rPr>
              <w:t>Style and Ideology in Translation: Latin American Writing in English</w:t>
            </w:r>
            <w:r w:rsidR="004B4CD7" w:rsidRPr="004B4CD7">
              <w:rPr>
                <w:rStyle w:val="Hyperlink0"/>
                <w:rFonts w:ascii="Times New Roman" w:hAnsi="Times New Roman" w:cs="Times New Roman"/>
                <w:kern w:val="36"/>
              </w:rPr>
              <w:t>, London: Routledge.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Newmark, P. (1981) </w:t>
            </w:r>
            <w:r w:rsidRPr="004B4CD7">
              <w:rPr>
                <w:rStyle w:val="Hyperlink1"/>
                <w:rFonts w:eastAsia="Calibri"/>
              </w:rPr>
              <w:t>Approaches to Translation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Oxford: Pergamon Press.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Nida, E. A. (1964) </w:t>
            </w:r>
            <w:r w:rsidRPr="004B4CD7">
              <w:rPr>
                <w:rStyle w:val="Hyperlink1"/>
                <w:rFonts w:eastAsia="Calibri"/>
              </w:rPr>
              <w:t>Towards a Science of Translating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Leiden: Brill.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Nida, Eugene and Charles Taber. (1969) </w:t>
            </w:r>
            <w:r w:rsidRPr="004B4CD7">
              <w:rPr>
                <w:rStyle w:val="Hyperlink1"/>
                <w:rFonts w:eastAsia="Calibri"/>
              </w:rPr>
              <w:t>The Theory and Practice of Translation</w:t>
            </w:r>
            <w:r w:rsidRPr="004B4CD7">
              <w:rPr>
                <w:rStyle w:val="Hyperlink0"/>
                <w:rFonts w:ascii="Times New Roman" w:hAnsi="Times New Roman" w:cs="Times New Roman"/>
              </w:rPr>
              <w:t>.</w:t>
            </w:r>
            <w:r w:rsidRPr="004B4CD7">
              <w:rPr>
                <w:rStyle w:val="Hyperlink1"/>
                <w:rFonts w:eastAsia="Calibri"/>
              </w:rPr>
              <w:t xml:space="preserve"> </w:t>
            </w:r>
            <w:r w:rsidRPr="004B4CD7">
              <w:rPr>
                <w:rStyle w:val="None"/>
                <w:rFonts w:ascii="Times New Roman" w:hAnsi="Times New Roman" w:cs="Times New Roman"/>
                <w:lang w:val="de-DE"/>
              </w:rPr>
              <w:t>Leiden: EJ Brill.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Nowicka-Jeżowa, Alina. (1997)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Przekład literacki: teoria, historia, współczesność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. PWN.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Pisarska, Agnieszka and Teresa Tomaszkiewicz. (1996).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Współczesne tendencje przekładoznawcze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. Poznań: Wydaw. </w:t>
            </w:r>
            <w:r w:rsidRPr="004B4CD7">
              <w:rPr>
                <w:rStyle w:val="Hyperlink0"/>
                <w:rFonts w:ascii="Times New Roman" w:hAnsi="Times New Roman" w:cs="Times New Roman"/>
              </w:rPr>
              <w:t>Naukowe UAM.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Pisarska, Alicja. (1989) </w:t>
            </w:r>
            <w:r w:rsidRPr="004B4CD7">
              <w:rPr>
                <w:rStyle w:val="Hyperlink1"/>
                <w:rFonts w:eastAsia="Calibri"/>
              </w:rPr>
              <w:t>Creativity of Translators: the Translation of Metaphorical Expressions in Non-Literary Texts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, (chapters 1 - 4). 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Poznań: Wydaw. Naukowe UAM.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Popovic, Anton. (1971) 'Rola odbiorcy w procesie przekładu literackiego,' trans. Janusz Sławiński, in: Janusz Sławiński, ed.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Problemy socjologii literatury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, Wrocław, pp. 205-219.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kern w:val="36"/>
              </w:rPr>
            </w:pPr>
            <w:r w:rsidRPr="004B4CD7">
              <w:rPr>
                <w:rStyle w:val="Hyperlink0"/>
                <w:rFonts w:ascii="Times New Roman" w:hAnsi="Times New Roman" w:cs="Times New Roman"/>
                <w:kern w:val="36"/>
              </w:rPr>
              <w:t xml:space="preserve">Raphaelson-West, Debra S. (1989)“On the Feasibility and Strategies of Translating Humour,” in </w:t>
            </w:r>
            <w:r w:rsidRPr="004B4CD7">
              <w:rPr>
                <w:rStyle w:val="Hyperlink1"/>
                <w:rFonts w:eastAsia="Calibri"/>
                <w:kern w:val="36"/>
              </w:rPr>
              <w:t>Meta: journal des traducteurs / Meta: Translators’ Journal</w:t>
            </w:r>
            <w:r w:rsidRPr="004B4CD7">
              <w:rPr>
                <w:rStyle w:val="Hyperlink0"/>
                <w:rFonts w:ascii="Times New Roman" w:hAnsi="Times New Roman" w:cs="Times New Roman"/>
                <w:kern w:val="36"/>
              </w:rPr>
              <w:t>, vol. 34:1, pp. 128-141.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Robinson, D. (1997) </w:t>
            </w:r>
            <w:r w:rsidRPr="004B4CD7">
              <w:rPr>
                <w:rStyle w:val="Hyperlink1"/>
                <w:rFonts w:eastAsia="Calibri"/>
              </w:rPr>
              <w:t>Western Translation Theory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Manchester: St Jerome.  </w:t>
            </w:r>
          </w:p>
          <w:p w:rsidR="004B4CD7" w:rsidRPr="004B4CD7" w:rsidRDefault="004B4CD7" w:rsidP="004B4CD7">
            <w:pPr>
              <w:rPr>
                <w:rStyle w:val="Hyperlink0"/>
                <w:rFonts w:ascii="Times New Roman" w:hAnsi="Times New Roman" w:cs="Times New Roman"/>
              </w:rPr>
            </w:pPr>
          </w:p>
          <w:p w:rsidR="004B4CD7" w:rsidRPr="004B4CD7" w:rsidRDefault="004B4CD7" w:rsidP="004B4CD7">
            <w:pPr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Schulte, R. and J. Biguenet, eds. (1992) </w:t>
            </w:r>
            <w:r w:rsidRPr="004B4CD7">
              <w:rPr>
                <w:rStyle w:val="Hyperlink1"/>
                <w:rFonts w:eastAsia="Calibri"/>
              </w:rPr>
              <w:t>Theories of Translation: An Anthology of Essays from Dryden to Derrida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Chicago: University of Chicago Press.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Snell-Hornby, M. (1988) </w:t>
            </w:r>
            <w:r w:rsidRPr="004B4CD7">
              <w:rPr>
                <w:rStyle w:val="Hyperlink1"/>
                <w:rFonts w:eastAsia="Calibri"/>
              </w:rPr>
              <w:t>Translation Studies: An Integrated Approach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Amsterdam: Benjamins.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Steiner, G. (1975) </w:t>
            </w:r>
            <w:r w:rsidRPr="004B4CD7">
              <w:rPr>
                <w:rStyle w:val="Hyperlink1"/>
                <w:rFonts w:eastAsia="Calibri"/>
              </w:rPr>
              <w:t>After Babel: Aspects of Language and Translation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Oxford: OUP.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Szymdtowa, Zofia. (1955) “Czynniki rodzime i obce w przekładzie literackim,” </w:t>
            </w:r>
            <w:r w:rsidRPr="004B4CD7">
              <w:rPr>
                <w:rStyle w:val="None"/>
                <w:rFonts w:ascii="Times New Roman" w:hAnsi="Times New Roman" w:cs="Times New Roman"/>
                <w:lang w:val="de-DE"/>
              </w:rPr>
              <w:t>in: Micha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ł Rusinek, ed.,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O sztuce tłumaczenia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, Wrocław, pp.111-126.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Tabakowska, Elżbieta. (2001)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Językoznawstwo kognitywne a poetyka przekładu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. Krak</w:t>
            </w:r>
            <w:r w:rsidRPr="004B4C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4CD7">
              <w:rPr>
                <w:rStyle w:val="None"/>
                <w:rFonts w:ascii="Times New Roman" w:hAnsi="Times New Roman" w:cs="Times New Roman"/>
                <w:lang w:val="pt-PT"/>
              </w:rPr>
              <w:t>w: Universitas.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Tabakowska, Elżbieta. (1999)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O przekładzie na przykładzie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. Krak</w:t>
            </w:r>
            <w:r w:rsidRPr="004B4CD7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w: Znak.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Toury, G. (1995) </w:t>
            </w:r>
            <w:r w:rsidRPr="004B4CD7">
              <w:rPr>
                <w:rStyle w:val="Hyperlink1"/>
                <w:rFonts w:eastAsia="Calibri"/>
              </w:rPr>
              <w:t>Descriptive Translation Studies - and Beyond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</w:t>
            </w:r>
            <w:r w:rsidRPr="004B4CD7">
              <w:rPr>
                <w:rStyle w:val="None"/>
                <w:rFonts w:ascii="Times New Roman" w:hAnsi="Times New Roman" w:cs="Times New Roman"/>
                <w:lang w:val="nl-NL"/>
              </w:rPr>
              <w:t xml:space="preserve">Amsterdam: Benjamins. </w:t>
            </w:r>
          </w:p>
          <w:p w:rsidR="004B4CD7" w:rsidRPr="004B4CD7" w:rsidRDefault="004B4CD7" w:rsidP="004B4CD7">
            <w:pPr>
              <w:pStyle w:val="Lista"/>
              <w:spacing w:after="0" w:line="240" w:lineRule="auto"/>
              <w:rPr>
                <w:rStyle w:val="None"/>
                <w:sz w:val="22"/>
                <w:szCs w:val="22"/>
                <w:lang w:val="pl-PL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Tymoczko, Maria (2009) “Literatura postkolonialna i przekład literacki” in Bukowski and Heydel.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 xml:space="preserve">Urbanek, Dorota. (2004) 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Pęknię</w:t>
            </w:r>
            <w:r w:rsidRPr="004B4CD7">
              <w:rPr>
                <w:rStyle w:val="None"/>
                <w:rFonts w:ascii="Times New Roman" w:hAnsi="Times New Roman" w:cs="Times New Roman"/>
                <w:i/>
                <w:iCs/>
                <w:lang w:val="fr-FR"/>
              </w:rPr>
              <w:t>te lustro</w:t>
            </w:r>
            <w:r w:rsidRPr="004B4CD7">
              <w:rPr>
                <w:rStyle w:val="None"/>
                <w:rFonts w:ascii="Times New Roman" w:hAnsi="Times New Roman" w:cs="Times New Roman"/>
                <w:lang w:val="pl-PL"/>
              </w:rPr>
              <w:t>. Warszawa.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lang w:val="pl-PL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Venuti, L., ed. (1992) </w:t>
            </w:r>
            <w:r w:rsidRPr="004B4CD7">
              <w:rPr>
                <w:rStyle w:val="Hyperlink1"/>
                <w:rFonts w:eastAsia="Calibri"/>
              </w:rPr>
              <w:t>Rethinking Translation: Discourse, Subjectivity, Ideology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London: Routledge. 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Venuti, L. (1995) </w:t>
            </w:r>
            <w:r w:rsidRPr="004B4CD7">
              <w:rPr>
                <w:rStyle w:val="Hyperlink1"/>
                <w:rFonts w:eastAsia="Calibri"/>
              </w:rPr>
              <w:t>The Translator's Invisibility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London: Routledge. 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Venuti, L. (1998) </w:t>
            </w:r>
            <w:r w:rsidRPr="004B4CD7">
              <w:rPr>
                <w:rStyle w:val="Hyperlink1"/>
                <w:rFonts w:eastAsia="Calibri"/>
              </w:rPr>
              <w:t>The Scandals of Translation: Towards an Ethics of Difference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London: Routledge. 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Venuti, L., ed. (2004) </w:t>
            </w:r>
            <w:r w:rsidRPr="004B4CD7">
              <w:rPr>
                <w:rStyle w:val="Hyperlink1"/>
                <w:rFonts w:eastAsia="Calibri"/>
              </w:rPr>
              <w:t>The Translation Studies Reader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Second edition. London: Routledge. 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Wakabayashi, Judy. (1991) “The Translator as Editor: Beginnings and Endings in Japanese-English Translation,” in Mildred L. Larson, ed., </w:t>
            </w:r>
            <w:r w:rsidRPr="004B4CD7">
              <w:rPr>
                <w:rStyle w:val="Hyperlink1"/>
                <w:rFonts w:eastAsia="Calibri"/>
              </w:rPr>
              <w:t>Translation: Theory and Practice, Tension and Interdependence</w:t>
            </w:r>
            <w:r w:rsidRPr="004B4CD7">
              <w:rPr>
                <w:rStyle w:val="Hyperlink0"/>
                <w:rFonts w:ascii="Times New Roman" w:hAnsi="Times New Roman" w:cs="Times New Roman"/>
              </w:rPr>
              <w:t>, Binghamton: SUNY, pp. 224-234.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Weissbrod, Rachel. (1991) “Translation of Prose Fiction from English to Hebrew: A Function of Norms (1960s and 1970s)” in Mildred L. Larson, ed., </w:t>
            </w:r>
            <w:r w:rsidRPr="004B4CD7">
              <w:rPr>
                <w:rStyle w:val="Hyperlink1"/>
                <w:rFonts w:eastAsia="Calibri"/>
              </w:rPr>
              <w:t>Translation: Theory and Practice, Tension and Interdependence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, Binghamton: SUNY, pp. 206-223.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Williams, J. and A. Chesterman. (2002) </w:t>
            </w:r>
            <w:r w:rsidRPr="004B4CD7">
              <w:rPr>
                <w:rStyle w:val="Hyperlink1"/>
                <w:rFonts w:eastAsia="Calibri"/>
              </w:rPr>
              <w:t>The Map: A Beginner’s Guide to Doing Research in Translation Studies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Manchester: St Jerome. 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 w:rsidRPr="004B4CD7">
              <w:rPr>
                <w:rStyle w:val="Hyperlink0"/>
                <w:rFonts w:ascii="Times New Roman" w:hAnsi="Times New Roman" w:cs="Times New Roman"/>
              </w:rPr>
              <w:t xml:space="preserve">Wilss, W. (1996) </w:t>
            </w:r>
            <w:r w:rsidRPr="004B4CD7">
              <w:rPr>
                <w:rStyle w:val="Hyperlink1"/>
                <w:rFonts w:eastAsia="Calibri"/>
              </w:rPr>
              <w:t>Knowledge and Skills in Translator Behaviour</w:t>
            </w:r>
            <w:r w:rsidRPr="004B4CD7">
              <w:rPr>
                <w:rStyle w:val="Hyperlink0"/>
                <w:rFonts w:ascii="Times New Roman" w:hAnsi="Times New Roman" w:cs="Times New Roman"/>
              </w:rPr>
              <w:t xml:space="preserve">. Amsterdam: Benjamins.  </w:t>
            </w:r>
          </w:p>
          <w:p w:rsidR="004B4CD7" w:rsidRPr="004B4CD7" w:rsidRDefault="004B4CD7" w:rsidP="004B4CD7">
            <w:pPr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4B4CD7" w:rsidRPr="004B4CD7" w:rsidRDefault="002E2CB1" w:rsidP="004B4CD7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hyperlink r:id="rId13" w:history="1">
              <w:r w:rsidR="004B4CD7" w:rsidRPr="004B4CD7">
                <w:rPr>
                  <w:rStyle w:val="Hyperlink2"/>
                  <w:rFonts w:ascii="Times New Roman" w:hAnsi="Times New Roman" w:cs="Times New Roman"/>
                </w:rPr>
                <w:t>Zlatnar Moe</w:t>
              </w:r>
            </w:hyperlink>
            <w:r w:rsidR="004B4CD7" w:rsidRPr="004B4CD7">
              <w:rPr>
                <w:rStyle w:val="Hyperlink2"/>
                <w:rFonts w:ascii="Times New Roman" w:hAnsi="Times New Roman" w:cs="Times New Roman"/>
              </w:rPr>
              <w:t xml:space="preserve">, Marija (2010) “Register shifts in translations of popular fiction from English into Slovene,” in Gile, Daniel, Gyde Hansen and Nike K. Pokorn (eds.), </w:t>
            </w:r>
            <w:hyperlink r:id="rId14" w:history="1">
              <w:r w:rsidR="004B4CD7" w:rsidRPr="004B4CD7">
                <w:rPr>
                  <w:rStyle w:val="Hyperlink3"/>
                  <w:rFonts w:eastAsia="Calibri"/>
                </w:rPr>
                <w:t>Why Translation Studies Matters</w:t>
              </w:r>
              <w:r w:rsidR="004B4CD7" w:rsidRPr="004B4CD7">
                <w:rPr>
                  <w:rStyle w:val="Hyperlink2"/>
                  <w:rFonts w:ascii="Times New Roman" w:hAnsi="Times New Roman" w:cs="Times New Roman"/>
                </w:rPr>
                <w:t>,</w:t>
              </w:r>
            </w:hyperlink>
            <w:r w:rsidR="004B4CD7" w:rsidRPr="004B4CD7">
              <w:rPr>
                <w:rStyle w:val="Hyperlink2"/>
                <w:rFonts w:ascii="Times New Roman" w:hAnsi="Times New Roman" w:cs="Times New Roman"/>
              </w:rPr>
              <w:t xml:space="preserve"> Amsterdam: John Benjamins.</w:t>
            </w:r>
          </w:p>
        </w:tc>
      </w:tr>
    </w:tbl>
    <w:p w:rsidR="00261E4D" w:rsidRPr="004B4CD7" w:rsidRDefault="00261E4D" w:rsidP="004B4CD7">
      <w:pPr>
        <w:widowControl w:val="0"/>
        <w:spacing w:line="240" w:lineRule="auto"/>
        <w:rPr>
          <w:rFonts w:ascii="Times New Roman" w:hAnsi="Times New Roman" w:cs="Times New Roman"/>
          <w:lang w:val="de-DE"/>
        </w:rPr>
      </w:pPr>
    </w:p>
    <w:sectPr w:rsidR="00261E4D" w:rsidRPr="004B4CD7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CB1" w:rsidRDefault="002E2CB1">
      <w:pPr>
        <w:spacing w:after="0" w:line="240" w:lineRule="auto"/>
      </w:pPr>
      <w:r>
        <w:separator/>
      </w:r>
    </w:p>
  </w:endnote>
  <w:endnote w:type="continuationSeparator" w:id="0">
    <w:p w:rsidR="002E2CB1" w:rsidRDefault="002E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E4D" w:rsidRDefault="00261E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CB1" w:rsidRDefault="002E2CB1">
      <w:pPr>
        <w:spacing w:after="0" w:line="240" w:lineRule="auto"/>
      </w:pPr>
      <w:r>
        <w:separator/>
      </w:r>
    </w:p>
  </w:footnote>
  <w:footnote w:type="continuationSeparator" w:id="0">
    <w:p w:rsidR="002E2CB1" w:rsidRDefault="002E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E4D" w:rsidRDefault="00DA5C24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8E6"/>
    <w:multiLevelType w:val="hybridMultilevel"/>
    <w:tmpl w:val="D8305814"/>
    <w:styleLink w:val="ImportedStyle1"/>
    <w:lvl w:ilvl="0" w:tplc="75BC41A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5A6D3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AEC80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8D3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2E68A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4EF01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86369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CC7D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46D6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AC35A9"/>
    <w:multiLevelType w:val="hybridMultilevel"/>
    <w:tmpl w:val="8F6816C4"/>
    <w:lvl w:ilvl="0" w:tplc="AC9C8B62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9277DE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75DA">
      <w:start w:val="1"/>
      <w:numFmt w:val="lowerRoman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2C1648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4A54BC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3CBDA2">
      <w:start w:val="1"/>
      <w:numFmt w:val="lowerRoman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4BDB0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0E3B84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5065CA">
      <w:start w:val="1"/>
      <w:numFmt w:val="lowerRoman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7EF6C93"/>
    <w:multiLevelType w:val="hybridMultilevel"/>
    <w:tmpl w:val="D8305814"/>
    <w:numStyleLink w:val="ImportedStyle1"/>
  </w:abstractNum>
  <w:num w:numId="1">
    <w:abstractNumId w:val="0"/>
  </w:num>
  <w:num w:numId="2">
    <w:abstractNumId w:val="2"/>
  </w:num>
  <w:num w:numId="3">
    <w:abstractNumId w:val="2"/>
    <w:lvlOverride w:ilvl="0">
      <w:lvl w:ilvl="0" w:tplc="D254864E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2E8FB2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6E059C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787A86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80E888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D659AC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344A42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324020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0AB7FC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2"/>
    </w:lvlOverride>
  </w:num>
  <w:num w:numId="6">
    <w:abstractNumId w:val="2"/>
    <w:lvlOverride w:ilvl="0">
      <w:lvl w:ilvl="0" w:tplc="D254864E">
        <w:start w:val="1"/>
        <w:numFmt w:val="upperRoman"/>
        <w:lvlText w:val="%1."/>
        <w:lvlJc w:val="left"/>
        <w:pPr>
          <w:tabs>
            <w:tab w:val="num" w:pos="1080"/>
          </w:tabs>
          <w:ind w:left="1381" w:hanging="10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2E8FB2">
        <w:start w:val="1"/>
        <w:numFmt w:val="lowerLetter"/>
        <w:lvlText w:val="%2."/>
        <w:lvlJc w:val="left"/>
        <w:pPr>
          <w:tabs>
            <w:tab w:val="num" w:pos="1440"/>
          </w:tabs>
          <w:ind w:left="174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6E059C">
        <w:start w:val="1"/>
        <w:numFmt w:val="lowerRoman"/>
        <w:lvlText w:val="%3."/>
        <w:lvlJc w:val="left"/>
        <w:pPr>
          <w:tabs>
            <w:tab w:val="num" w:pos="2160"/>
          </w:tabs>
          <w:ind w:left="2461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787A86">
        <w:start w:val="1"/>
        <w:numFmt w:val="decimal"/>
        <w:lvlText w:val="%4."/>
        <w:lvlJc w:val="left"/>
        <w:pPr>
          <w:tabs>
            <w:tab w:val="num" w:pos="2880"/>
          </w:tabs>
          <w:ind w:left="318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80E888">
        <w:start w:val="1"/>
        <w:numFmt w:val="lowerLetter"/>
        <w:lvlText w:val="%5."/>
        <w:lvlJc w:val="left"/>
        <w:pPr>
          <w:tabs>
            <w:tab w:val="num" w:pos="3600"/>
          </w:tabs>
          <w:ind w:left="390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D659AC">
        <w:start w:val="1"/>
        <w:numFmt w:val="lowerRoman"/>
        <w:lvlText w:val="%6."/>
        <w:lvlJc w:val="left"/>
        <w:pPr>
          <w:tabs>
            <w:tab w:val="num" w:pos="4320"/>
          </w:tabs>
          <w:ind w:left="4621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344A42">
        <w:start w:val="1"/>
        <w:numFmt w:val="decimal"/>
        <w:lvlText w:val="%7."/>
        <w:lvlJc w:val="left"/>
        <w:pPr>
          <w:tabs>
            <w:tab w:val="num" w:pos="5040"/>
          </w:tabs>
          <w:ind w:left="534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324020">
        <w:start w:val="1"/>
        <w:numFmt w:val="lowerLetter"/>
        <w:lvlText w:val="%8."/>
        <w:lvlJc w:val="left"/>
        <w:pPr>
          <w:tabs>
            <w:tab w:val="num" w:pos="5760"/>
          </w:tabs>
          <w:ind w:left="6061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0AB7FC">
        <w:start w:val="1"/>
        <w:numFmt w:val="lowerRoman"/>
        <w:lvlText w:val="%9."/>
        <w:lvlJc w:val="left"/>
        <w:pPr>
          <w:tabs>
            <w:tab w:val="num" w:pos="6480"/>
          </w:tabs>
          <w:ind w:left="6781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3"/>
    </w:lvlOverride>
  </w:num>
  <w:num w:numId="8">
    <w:abstractNumId w:val="2"/>
    <w:lvlOverride w:ilvl="0">
      <w:startOverride w:val="4"/>
    </w:lvlOverride>
  </w:num>
  <w:num w:numId="9">
    <w:abstractNumId w:val="1"/>
  </w:num>
  <w:num w:numId="10">
    <w:abstractNumId w:val="2"/>
    <w:lvlOverride w:ilvl="0">
      <w:startOverride w:val="5"/>
    </w:lvlOverride>
  </w:num>
  <w:num w:numId="11">
    <w:abstractNumId w:val="2"/>
    <w:lvlOverride w:ilvl="0">
      <w:lvl w:ilvl="0" w:tplc="D254864E">
        <w:start w:val="1"/>
        <w:numFmt w:val="upperRoman"/>
        <w:lvlText w:val="%1."/>
        <w:lvlJc w:val="left"/>
        <w:pPr>
          <w:tabs>
            <w:tab w:val="num" w:pos="1080"/>
          </w:tabs>
          <w:ind w:left="1466" w:hanging="11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2E8FB2">
        <w:start w:val="1"/>
        <w:numFmt w:val="lowerLetter"/>
        <w:lvlText w:val="%2."/>
        <w:lvlJc w:val="left"/>
        <w:pPr>
          <w:tabs>
            <w:tab w:val="num" w:pos="1440"/>
          </w:tabs>
          <w:ind w:left="1826" w:hanging="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6E059C">
        <w:start w:val="1"/>
        <w:numFmt w:val="lowerRoman"/>
        <w:lvlText w:val="%3."/>
        <w:lvlJc w:val="left"/>
        <w:pPr>
          <w:tabs>
            <w:tab w:val="num" w:pos="2160"/>
          </w:tabs>
          <w:ind w:left="2546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787A86">
        <w:start w:val="1"/>
        <w:numFmt w:val="decimal"/>
        <w:lvlText w:val="%4."/>
        <w:lvlJc w:val="left"/>
        <w:pPr>
          <w:tabs>
            <w:tab w:val="num" w:pos="2880"/>
          </w:tabs>
          <w:ind w:left="3266" w:hanging="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80E888">
        <w:start w:val="1"/>
        <w:numFmt w:val="lowerLetter"/>
        <w:lvlText w:val="%5."/>
        <w:lvlJc w:val="left"/>
        <w:pPr>
          <w:tabs>
            <w:tab w:val="num" w:pos="3600"/>
          </w:tabs>
          <w:ind w:left="3986" w:hanging="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D659AC">
        <w:start w:val="1"/>
        <w:numFmt w:val="lowerRoman"/>
        <w:lvlText w:val="%6."/>
        <w:lvlJc w:val="left"/>
        <w:pPr>
          <w:tabs>
            <w:tab w:val="num" w:pos="4320"/>
          </w:tabs>
          <w:ind w:left="4706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344A42">
        <w:start w:val="1"/>
        <w:numFmt w:val="decimal"/>
        <w:lvlText w:val="%7."/>
        <w:lvlJc w:val="left"/>
        <w:pPr>
          <w:tabs>
            <w:tab w:val="num" w:pos="5040"/>
          </w:tabs>
          <w:ind w:left="5426" w:hanging="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324020">
        <w:start w:val="1"/>
        <w:numFmt w:val="lowerLetter"/>
        <w:lvlText w:val="%8."/>
        <w:lvlJc w:val="left"/>
        <w:pPr>
          <w:tabs>
            <w:tab w:val="num" w:pos="5760"/>
          </w:tabs>
          <w:ind w:left="6146" w:hanging="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0AB7FC">
        <w:start w:val="1"/>
        <w:numFmt w:val="lowerRoman"/>
        <w:lvlText w:val="%9."/>
        <w:lvlJc w:val="left"/>
        <w:pPr>
          <w:tabs>
            <w:tab w:val="num" w:pos="6480"/>
          </w:tabs>
          <w:ind w:left="6866" w:hanging="6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startOverride w:val="6"/>
    </w:lvlOverride>
  </w:num>
  <w:num w:numId="13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4D"/>
    <w:rsid w:val="00261E4D"/>
    <w:rsid w:val="002E2CB1"/>
    <w:rsid w:val="004B4CD7"/>
    <w:rsid w:val="00905827"/>
    <w:rsid w:val="00D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0A6E1F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one"/>
    <w:rPr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i/>
      <w:iCs/>
      <w:lang w:val="en-US"/>
    </w:rPr>
  </w:style>
  <w:style w:type="paragraph" w:customStyle="1" w:styleId="Index">
    <w:name w:val="Index"/>
    <w:pPr>
      <w:widowControl w:val="0"/>
      <w:spacing w:after="200" w:line="276" w:lineRule="auto"/>
    </w:pPr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a">
    <w:name w:val="List"/>
    <w:pPr>
      <w:widowControl w:val="0"/>
      <w:suppressAutoHyphens/>
      <w:spacing w:after="200" w:line="276" w:lineRule="auto"/>
      <w:jc w:val="both"/>
    </w:pPr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kern w:val="36"/>
      <w:lang w:val="en-US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i/>
      <w:iCs/>
      <w:kern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erome.co.uk/tsa/year/2002/" TargetMode="External"/><Relationship Id="rId13" Type="http://schemas.openxmlformats.org/officeDocument/2006/relationships/hyperlink" Target="http://benjamins.com/%252523catalog/persons/67504757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jerome.co.uk/tsa/author/54541/" TargetMode="External"/><Relationship Id="rId12" Type="http://schemas.openxmlformats.org/officeDocument/2006/relationships/hyperlink" Target="http://www.amazon.com/Jeremy-Munday/e/B001ITTS7S/ref=ntt_athr_dp_pel_1/180-1541491-433505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jerome.co.uk/tsa/issue/16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tjerome.co.uk/tsa/journal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jerome.co.uk/tsa/abstract/198/" TargetMode="External"/><Relationship Id="rId14" Type="http://schemas.openxmlformats.org/officeDocument/2006/relationships/hyperlink" Target="http://benjamins.com/%252523catalog/books/btl.88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1625</Words>
  <Characters>10650</Characters>
  <Application>Microsoft Office Word</Application>
  <DocSecurity>0</DocSecurity>
  <Lines>532</Lines>
  <Paragraphs>180</Paragraphs>
  <ScaleCrop>false</ScaleCrop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2020-07-16T08:54:00Z</dcterms:created>
  <dcterms:modified xsi:type="dcterms:W3CDTF">2021-04-19T09:50:00Z</dcterms:modified>
</cp:coreProperties>
</file>