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584" w:rsidRPr="00B34584" w:rsidRDefault="00B34584" w:rsidP="00B34584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  <w:r w:rsidRPr="00B34584">
        <w:rPr>
          <w:rFonts w:ascii="Times New Roman" w:hAnsi="Times New Roman" w:cs="Times New Roman"/>
          <w:b/>
          <w:bCs/>
          <w:color w:val="000000"/>
        </w:rPr>
        <w:t xml:space="preserve">KARTA PRZEDMIOTU </w:t>
      </w:r>
    </w:p>
    <w:p w:rsidR="00B34584" w:rsidRPr="00B34584" w:rsidRDefault="00B34584" w:rsidP="00B34584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B34584" w:rsidRPr="00B34584" w:rsidRDefault="00B34584" w:rsidP="00B34584">
      <w:pPr>
        <w:numPr>
          <w:ilvl w:val="0"/>
          <w:numId w:val="1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B34584">
        <w:rPr>
          <w:rFonts w:ascii="Times New Roman" w:hAnsi="Times New Roman" w:cs="Times New Roman"/>
          <w:b/>
          <w:bCs/>
          <w:color w:val="000000"/>
        </w:rPr>
        <w:t>Dane podstawowe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0"/>
        <w:gridCol w:w="5567"/>
      </w:tblGrid>
      <w:tr w:rsidR="00B34584" w:rsidRPr="00B34584" w:rsidTr="00B34584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Nazwa przedmiotu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Językoznawstwo (seminarium)</w:t>
            </w: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Nazwa przedmiotu w języku angielskim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B34584">
              <w:rPr>
                <w:rFonts w:ascii="Times New Roman" w:hAnsi="Times New Roman" w:cs="Times New Roman"/>
                <w:color w:val="000000"/>
              </w:rPr>
              <w:t>Linguistics</w:t>
            </w:r>
            <w:proofErr w:type="spellEnd"/>
            <w:r w:rsidRPr="00B3458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34584">
              <w:rPr>
                <w:rFonts w:ascii="Times New Roman" w:hAnsi="Times New Roman" w:cs="Times New Roman"/>
                <w:color w:val="000000"/>
              </w:rPr>
              <w:t>seminar</w:t>
            </w:r>
            <w:proofErr w:type="spellEnd"/>
            <w:r w:rsidRPr="00B34584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 xml:space="preserve">Kierunek studiów 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filologia angielska</w:t>
            </w: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Poziom studiów (I, II, jednolite magisterskie)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Forma studiów (stacjonarne, niestacjonarne)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niestacjonarne</w:t>
            </w: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Dyscyplina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Językoznawstwo</w:t>
            </w:r>
          </w:p>
        </w:tc>
      </w:tr>
      <w:tr w:rsidR="00B34584" w:rsidRPr="00B34584" w:rsidTr="00B34584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Język wykładowy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Język angielski</w:t>
            </w:r>
          </w:p>
        </w:tc>
      </w:tr>
    </w:tbl>
    <w:p w:rsidR="00B34584" w:rsidRPr="00B34584" w:rsidRDefault="00B34584" w:rsidP="00B34584">
      <w:pPr>
        <w:tabs>
          <w:tab w:val="left" w:pos="20"/>
          <w:tab w:val="left" w:pos="393"/>
          <w:tab w:val="left" w:pos="1080"/>
        </w:tabs>
        <w:autoSpaceDE w:val="0"/>
        <w:autoSpaceDN w:val="0"/>
        <w:adjustRightInd w:val="0"/>
        <w:spacing w:after="200"/>
        <w:ind w:left="393"/>
        <w:rPr>
          <w:rFonts w:ascii="Times New Roman" w:hAnsi="Times New Roman" w:cs="Times New Roman"/>
          <w:color w:val="000000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0"/>
        <w:gridCol w:w="5567"/>
      </w:tblGrid>
      <w:tr w:rsidR="00B34584" w:rsidRPr="00B34584" w:rsidTr="00B34584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Koordynator przedmiotu/osoba odpowiedzialna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 xml:space="preserve">dr hab. Krzysztof Jaskuła, prof. KUL </w:t>
            </w:r>
          </w:p>
        </w:tc>
      </w:tr>
    </w:tbl>
    <w:p w:rsidR="00B34584" w:rsidRPr="00B34584" w:rsidRDefault="00B34584" w:rsidP="00B345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34584" w:rsidRPr="00B34584" w:rsidRDefault="00B34584" w:rsidP="00B345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1900"/>
        <w:gridCol w:w="1900"/>
        <w:gridCol w:w="4027"/>
      </w:tblGrid>
      <w:tr w:rsidR="00B34584" w:rsidRPr="00B34584" w:rsidTr="00B34584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 xml:space="preserve">Forma zajęć </w:t>
            </w:r>
            <w:r w:rsidRPr="00B34584">
              <w:rPr>
                <w:rFonts w:ascii="Times New Roman" w:hAnsi="Times New Roman" w:cs="Times New Roman"/>
                <w:i/>
                <w:iCs/>
                <w:color w:val="000000"/>
              </w:rPr>
              <w:t>(katalog zamknięty ze słownika)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Liczba godzin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semestr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Punkty ECTS</w:t>
            </w: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wykład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konwersatorium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laboratorium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warsztaty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seminarium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I-IV</w:t>
            </w: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proseminarium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lektorat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praktyki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zajęcia terenowe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pracownia dyplomowa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B34584">
              <w:rPr>
                <w:rFonts w:ascii="Times New Roman" w:hAnsi="Times New Roman" w:cs="Times New Roman"/>
                <w:color w:val="000000"/>
              </w:rPr>
              <w:t>translatorium</w:t>
            </w:r>
            <w:proofErr w:type="spellEnd"/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34584" w:rsidRPr="00B34584" w:rsidTr="00B34584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wizyta studyjna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34584" w:rsidRPr="00B34584" w:rsidRDefault="00B34584" w:rsidP="00B345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34584" w:rsidRPr="00B34584" w:rsidRDefault="00B34584" w:rsidP="00B3458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8029"/>
      </w:tblGrid>
      <w:tr w:rsidR="00B34584" w:rsidRPr="00B34584" w:rsidTr="00B34584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lastRenderedPageBreak/>
              <w:t>Wymagania wstępne</w:t>
            </w:r>
          </w:p>
        </w:tc>
        <w:tc>
          <w:tcPr>
            <w:tcW w:w="8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Znajomość jęz. angielskiego przynajmniej B2+. Podstawowa znajomość terminologii i</w:t>
            </w:r>
          </w:p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zagadnień dziedziny językoznawstwa.</w:t>
            </w:r>
          </w:p>
        </w:tc>
      </w:tr>
    </w:tbl>
    <w:p w:rsidR="00B34584" w:rsidRPr="00B34584" w:rsidRDefault="00B34584" w:rsidP="00B345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34584" w:rsidRPr="00B34584" w:rsidRDefault="00B34584" w:rsidP="00B34584">
      <w:pPr>
        <w:numPr>
          <w:ilvl w:val="0"/>
          <w:numId w:val="3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B34584">
        <w:rPr>
          <w:rFonts w:ascii="Times New Roman" w:hAnsi="Times New Roman" w:cs="Times New Roman"/>
          <w:b/>
          <w:bCs/>
          <w:color w:val="000000"/>
        </w:rPr>
        <w:t xml:space="preserve">Cele kształcenia dla przedmiotu </w:t>
      </w: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34584" w:rsidRPr="00B34584" w:rsidTr="00B34584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C1 Studenci znają i potrafią używać zaawansowanej terminologii językoznawczej</w:t>
            </w: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C2 Studenci potrafią identyfikować i oceniać krytycznie nowoczesne podejścia do językoznawstwa</w:t>
            </w: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C3 Studenci potrafią dokonywać prostych analiz językoznawczych</w:t>
            </w:r>
          </w:p>
        </w:tc>
      </w:tr>
      <w:tr w:rsidR="00B34584" w:rsidRPr="00B34584" w:rsidTr="00B34584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C4 Studenci potrafią stworzyć pracę magisterską w dziedzinie językoznawstwa</w:t>
            </w:r>
          </w:p>
        </w:tc>
      </w:tr>
    </w:tbl>
    <w:p w:rsidR="00B34584" w:rsidRPr="00B34584" w:rsidRDefault="00B34584" w:rsidP="00B34584">
      <w:pPr>
        <w:tabs>
          <w:tab w:val="left" w:pos="1080"/>
        </w:tabs>
        <w:autoSpaceDE w:val="0"/>
        <w:autoSpaceDN w:val="0"/>
        <w:adjustRightInd w:val="0"/>
        <w:spacing w:after="200"/>
        <w:ind w:left="393"/>
        <w:rPr>
          <w:rFonts w:ascii="Times New Roman" w:hAnsi="Times New Roman" w:cs="Times New Roman"/>
          <w:color w:val="000000"/>
        </w:rPr>
      </w:pPr>
    </w:p>
    <w:p w:rsidR="00B34584" w:rsidRPr="00B34584" w:rsidRDefault="00B34584" w:rsidP="00B3458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p w:rsidR="00B34584" w:rsidRPr="00B34584" w:rsidRDefault="00B34584" w:rsidP="00B34584">
      <w:pPr>
        <w:numPr>
          <w:ilvl w:val="0"/>
          <w:numId w:val="4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B34584">
        <w:rPr>
          <w:rFonts w:ascii="Times New Roman" w:hAnsi="Times New Roman" w:cs="Times New Roman"/>
          <w:b/>
          <w:bCs/>
          <w:color w:val="000000"/>
        </w:rPr>
        <w:t>Efekty uczenia się dla przedmiotu wraz z odniesieniem do efektów kierunkowych</w:t>
      </w:r>
    </w:p>
    <w:p w:rsidR="00B34584" w:rsidRPr="00B34584" w:rsidRDefault="00B34584" w:rsidP="00B34584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color w:val="F6000B"/>
        </w:rPr>
      </w:pP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3"/>
        <w:gridCol w:w="3689"/>
      </w:tblGrid>
      <w:tr w:rsidR="00B34584" w:rsidRPr="00B34584" w:rsidTr="00B3458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34584" w:rsidRPr="00B34584" w:rsidRDefault="00B345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Symbol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34584" w:rsidRPr="00B34584" w:rsidRDefault="00B34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Opis efektu przedmiotowego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34584" w:rsidRPr="00B34584" w:rsidRDefault="00B34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Odniesienie do efektu kierunkowego</w:t>
            </w: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WIEDZA</w:t>
            </w: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W_01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 xml:space="preserve">Student rozpoznaje w zaawansowanym stopniu teorię i metodologię badań językoznawczych 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K_W02</w:t>
            </w: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W_02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 xml:space="preserve">Zna zaawanasowane metod analizy i interpretacji danych językoznawczych 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K_W04</w:t>
            </w: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W_03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Rozróżnia główne kierunki rozwoju teorii i badań językoznawczych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K_W07</w:t>
            </w: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W_04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Rozumie pojęcia z zakresu prawa autorskiego i zasady poszanowania własności intelektualnej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K_W09</w:t>
            </w: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UMIEJĘTNOŚCI</w:t>
            </w: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U_01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Student formułuje i testuje hipotezy w rozwiązywaniu prostych problemów badawczych z zakresu językoznawstwa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K_U02</w:t>
            </w: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U_02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 xml:space="preserve">Konstruuje złożone wypowiedzi ustne i pisemne w języku angielskim na poziomie C2 o charakterze ogólnym i naukowym w odpowiednim rejestrze 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K_U04</w:t>
            </w: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U_03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Wyraża swoje myśli i poglądy w języku angielskim precyzyjnie i poprawnie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K_U05</w:t>
            </w: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U_04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Przedstawia, merytorycznie argumentuje i ocenia różne opinie i stanowiska, formułuje wnioski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K_U07</w:t>
            </w: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U_05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 xml:space="preserve">Poszerza samodzielnie swoje kompetencje w zakresie języka angielskiego 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K_U09</w:t>
            </w: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KOMPETENCJE SPOŁECZNE</w:t>
            </w: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K_01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 xml:space="preserve">Student jest krytyczny wobec własnej wiedzy i umiejętności oraz odbieranych treści 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K_K01</w:t>
            </w: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lastRenderedPageBreak/>
              <w:t>K_02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Uznaje wiedzę ekspercką w rozwiązywaniu problemów praktycznych i poznawczych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K_K02</w:t>
            </w:r>
          </w:p>
        </w:tc>
      </w:tr>
      <w:tr w:rsidR="00B34584" w:rsidRPr="00B34584" w:rsidTr="00B3458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K_03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Dba o odpowiedzialne, etyczne i twórcze działanie w kontekście zawodowym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6000B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K_K06</w:t>
            </w:r>
          </w:p>
        </w:tc>
      </w:tr>
    </w:tbl>
    <w:p w:rsidR="00B34584" w:rsidRPr="00B34584" w:rsidRDefault="00B34584" w:rsidP="00B34584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B34584" w:rsidRPr="00B34584" w:rsidRDefault="00B34584" w:rsidP="00B34584">
      <w:pPr>
        <w:numPr>
          <w:ilvl w:val="0"/>
          <w:numId w:val="5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B34584">
        <w:rPr>
          <w:rFonts w:ascii="Times New Roman" w:hAnsi="Times New Roman" w:cs="Times New Roman"/>
          <w:b/>
          <w:bCs/>
          <w:color w:val="000000"/>
        </w:rPr>
        <w:t>Opis przedmiotu/ treści programowe</w:t>
      </w: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34584" w:rsidRPr="00B34584" w:rsidTr="00B34584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Analiza danych fonologicznych i morfologicznych. Praca z tekstem językoznawczym. Techniki pisania pracy dyplomowej. Pozostałe treści zostaną dopasowane do wybranych przez seminarzystów tematów prac magisterskich.</w:t>
            </w:r>
          </w:p>
        </w:tc>
      </w:tr>
    </w:tbl>
    <w:p w:rsidR="00B34584" w:rsidRPr="00B34584" w:rsidRDefault="00B34584" w:rsidP="00B34584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B34584" w:rsidRPr="00B34584" w:rsidRDefault="00B34584" w:rsidP="00B34584">
      <w:pPr>
        <w:numPr>
          <w:ilvl w:val="0"/>
          <w:numId w:val="6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B34584">
        <w:rPr>
          <w:rFonts w:ascii="Times New Roman" w:hAnsi="Times New Roman" w:cs="Times New Roman"/>
          <w:b/>
          <w:bCs/>
          <w:color w:val="000000"/>
        </w:rPr>
        <w:t>Metody realizacji i weryfikacji efektów uczenia się</w:t>
      </w: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03"/>
        <w:gridCol w:w="2780"/>
        <w:gridCol w:w="4089"/>
      </w:tblGrid>
      <w:tr w:rsidR="00B34584" w:rsidRPr="00B34584" w:rsidTr="00B3458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34584" w:rsidRPr="00B34584" w:rsidRDefault="00B3458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Symbol efektu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34584" w:rsidRPr="00B34584" w:rsidRDefault="00B34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Metody dydaktyczne</w:t>
            </w:r>
          </w:p>
          <w:p w:rsidR="00B34584" w:rsidRPr="00B34584" w:rsidRDefault="00B34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34584" w:rsidRPr="00B34584" w:rsidRDefault="00B34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Metody weryfikacji</w:t>
            </w:r>
          </w:p>
          <w:p w:rsidR="00B34584" w:rsidRPr="00B34584" w:rsidRDefault="00B34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34584" w:rsidRPr="00B34584" w:rsidRDefault="00B34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Sposoby dokumentacji</w:t>
            </w:r>
          </w:p>
          <w:p w:rsidR="00B34584" w:rsidRPr="00B34584" w:rsidRDefault="00B34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34584" w:rsidRPr="00B34584" w:rsidRDefault="00B34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WIEDZA</w:t>
            </w: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W_01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Praca badawcza pod kierunkiem (praca seminaryjna), wykład konwersatoryjny, dyskusja, praca z tekstem, praca indywidualna, analiza danych, burza mózgów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 xml:space="preserve">Obserwacja, prezentacja, fragmenty pracy magisterskiej 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 xml:space="preserve">Oceniona prezentacja, zapis w arkuszu ocen, praca magisterska </w:t>
            </w: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W_02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Praca badawcza pod kierunkiem (praca seminaryjna), wykład konwersatoryjny, dyskusja, praca z tekstem, praca indywidualna, analiza danych, burza mózgów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 xml:space="preserve">Obserwacja, fragmenty pracy magisterskiej prezentacja, 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Oceniona prezentacja, zapis w arkuszu ocen, praca magisterska</w:t>
            </w: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W_03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 xml:space="preserve">Praca badawcza pod kierunkiem (praca seminaryjna), wykład konwersatoryjny, dyskusja, praca z </w:t>
            </w:r>
            <w:r w:rsidRPr="00B34584">
              <w:rPr>
                <w:rFonts w:ascii="Times New Roman" w:hAnsi="Times New Roman" w:cs="Times New Roman"/>
                <w:color w:val="000000"/>
              </w:rPr>
              <w:lastRenderedPageBreak/>
              <w:t>tekstem, praca indywidualna, analiza danych, burza mózgów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lastRenderedPageBreak/>
              <w:t>Obserwacja, prezentacja, fragmenty pracy magisterskiej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Oceniona prezentacja, zapis w arkuszu ocen, praca magisterska</w:t>
            </w: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W_04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Praca badawcza pod kierunkiem (praca seminaryjna), wykład konwersatoryjny, dyskusja, praca z tekstem, praca indywidualna, analiza danych, burza mózgów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Obserwacja, prezentacja, fragmenty pracy magisterskiej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Oceniona prezentacja, zapis w arkuszu ocen, praca magisterska</w:t>
            </w: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34584" w:rsidRPr="00B34584" w:rsidRDefault="00B34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UMIEJĘTNOŚCI</w:t>
            </w: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U_01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Praca badawcza pod kierunkiem (praca seminaryjna), wykład konwersatoryjny, dyskusja, praca z tekstem, praca indywidualna, analiza danych, burza mózgów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Obserwacja, prezentacja, fragmenty pracy magisterskiej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Oceniona prezentacja, zapis w arkuszu ocen, praca magisterska</w:t>
            </w: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U_02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Praca badawcza pod kierunkiem (praca seminaryjna), wykład konwersatoryjny, dyskusja, praca z tekstem, praca indywidualna, analiza danych, burza mózgów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Obserwacja, prezentacja, fragmenty pracy magisterskiej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Oceniona prezentacja, zapis w arkuszu ocen, praca magisterska</w:t>
            </w: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U_03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Praca badawcza pod kierunkiem (praca seminaryjna), wykład konwersatoryjny, dyskusja, praca z tekstem, praca indywidualna, analiza danych, burza mózgów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Obserwacja, prezentacja, fragmenty pracy magisterskiej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Oceniona prezentacja, zapis w arkuszu ocen, praca magisterska</w:t>
            </w: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lastRenderedPageBreak/>
              <w:t>U_04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Praca badawcza pod kierunkiem (praca seminaryjna), wykład konwersatoryjny, dyskusja, praca z tekstem, praca indywidualna, analiza danych, burza mózgów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Obserwacja, prezentacja, fragmenty pracy magisterskiej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Oceniona prezentacja, zapis w arkuszu ocen, praca magisterska</w:t>
            </w: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U_05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Praca badawcza pod kierunkiem (praca seminaryjna), wykład konwersatoryjny, dyskusja, praca z tekstem, praca indywidualna, analiza danych, burza mózgów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Obserwacja, prezentacja, fragmenty pracy magisterskiej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Oceniona prezentacja, zapis w arkuszu ocen, praca magisterska</w:t>
            </w: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34584" w:rsidRPr="00B34584" w:rsidRDefault="00B34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KOMPETENCJE SPOŁECZNE</w:t>
            </w: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K_01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Dyskusja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Obserwacja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Raport z obserwacji</w:t>
            </w: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K_02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 xml:space="preserve">Dyskusja 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Obserwacja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Raport z obserwacji</w:t>
            </w:r>
          </w:p>
        </w:tc>
      </w:tr>
      <w:tr w:rsidR="00B34584" w:rsidRPr="00B34584" w:rsidTr="00B3458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K_03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 xml:space="preserve">Dyskusja 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Obserwacja</w:t>
            </w:r>
          </w:p>
        </w:tc>
        <w:tc>
          <w:tcPr>
            <w:tcW w:w="4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Raport z obserwacji</w:t>
            </w:r>
          </w:p>
        </w:tc>
      </w:tr>
    </w:tbl>
    <w:p w:rsidR="00B34584" w:rsidRPr="00B34584" w:rsidRDefault="00B34584" w:rsidP="00B34584">
      <w:pPr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bCs/>
          <w:color w:val="000000"/>
        </w:rPr>
      </w:pPr>
    </w:p>
    <w:p w:rsidR="00B34584" w:rsidRPr="00B34584" w:rsidRDefault="00B34584" w:rsidP="00B34584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 w:cs="Times New Roman"/>
          <w:b/>
          <w:bCs/>
          <w:color w:val="000000"/>
        </w:rPr>
      </w:pPr>
    </w:p>
    <w:p w:rsidR="00B34584" w:rsidRPr="00B34584" w:rsidRDefault="00B34584" w:rsidP="00B34584">
      <w:pPr>
        <w:numPr>
          <w:ilvl w:val="0"/>
          <w:numId w:val="7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B34584">
        <w:rPr>
          <w:rFonts w:ascii="Times New Roman" w:hAnsi="Times New Roman" w:cs="Times New Roman"/>
          <w:b/>
          <w:bCs/>
          <w:color w:val="000000"/>
        </w:rPr>
        <w:t>Kryteria oceny, uwagi…</w:t>
      </w:r>
    </w:p>
    <w:p w:rsidR="00B34584" w:rsidRPr="00B34584" w:rsidRDefault="00B34584" w:rsidP="00B34584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 w:rsidRPr="00B34584">
        <w:rPr>
          <w:rFonts w:ascii="Times New Roman" w:hAnsi="Times New Roman" w:cs="Times New Roman"/>
          <w:color w:val="000000"/>
        </w:rPr>
        <w:t>Głównym kryterium jest napisanie samodzielne pracy magisterskiej. Kryteriami pobocznymi są: aktywny udział w zajęciach, prezentacje, systematyczne przedstawianie rozdziałów pracy i wysiłek zorientowany na głównym celu – napisaniu samodzielnie pracy magisterskiej.</w:t>
      </w:r>
    </w:p>
    <w:p w:rsidR="00B34584" w:rsidRPr="00B34584" w:rsidRDefault="00B34584" w:rsidP="00B34584">
      <w:pPr>
        <w:numPr>
          <w:ilvl w:val="0"/>
          <w:numId w:val="8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B34584">
        <w:rPr>
          <w:rFonts w:ascii="Times New Roman" w:hAnsi="Times New Roman" w:cs="Times New Roman"/>
          <w:b/>
          <w:bCs/>
          <w:color w:val="000000"/>
        </w:rPr>
        <w:t>Obciążenie pracą studenta</w:t>
      </w:r>
    </w:p>
    <w:tbl>
      <w:tblPr>
        <w:tblW w:w="10031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0"/>
        <w:gridCol w:w="5851"/>
      </w:tblGrid>
      <w:tr w:rsidR="00B34584" w:rsidRPr="00B34584" w:rsidTr="00B34584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Forma aktywności studenta</w:t>
            </w:r>
          </w:p>
        </w:tc>
        <w:tc>
          <w:tcPr>
            <w:tcW w:w="5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Liczba godzin</w:t>
            </w: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 xml:space="preserve">Liczba godzin kontaktowych z nauczycielem </w:t>
            </w:r>
          </w:p>
        </w:tc>
        <w:tc>
          <w:tcPr>
            <w:tcW w:w="5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B34584" w:rsidRPr="00B34584" w:rsidTr="00B34584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Liczba godzin indywidualnej pracy studenta</w:t>
            </w:r>
          </w:p>
        </w:tc>
        <w:tc>
          <w:tcPr>
            <w:tcW w:w="5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550 (+ 56 e-learning)</w:t>
            </w:r>
          </w:p>
        </w:tc>
      </w:tr>
    </w:tbl>
    <w:p w:rsidR="00B34584" w:rsidRDefault="00B34584" w:rsidP="00B34584">
      <w:pPr>
        <w:tabs>
          <w:tab w:val="left" w:pos="1080"/>
        </w:tabs>
        <w:autoSpaceDE w:val="0"/>
        <w:autoSpaceDN w:val="0"/>
        <w:adjustRightInd w:val="0"/>
        <w:spacing w:after="200"/>
        <w:ind w:left="393"/>
        <w:rPr>
          <w:rFonts w:ascii="Times New Roman" w:hAnsi="Times New Roman" w:cs="Times New Roman"/>
          <w:color w:val="000000"/>
        </w:rPr>
      </w:pPr>
    </w:p>
    <w:p w:rsidR="00B34584" w:rsidRDefault="00B34584" w:rsidP="00B34584">
      <w:pPr>
        <w:tabs>
          <w:tab w:val="left" w:pos="1080"/>
        </w:tabs>
        <w:autoSpaceDE w:val="0"/>
        <w:autoSpaceDN w:val="0"/>
        <w:adjustRightInd w:val="0"/>
        <w:spacing w:after="200"/>
        <w:ind w:left="393"/>
        <w:rPr>
          <w:rFonts w:ascii="Times New Roman" w:hAnsi="Times New Roman" w:cs="Times New Roman"/>
          <w:color w:val="000000"/>
        </w:rPr>
      </w:pPr>
    </w:p>
    <w:p w:rsidR="00B34584" w:rsidRPr="00B34584" w:rsidRDefault="00B34584" w:rsidP="00B34584">
      <w:pPr>
        <w:tabs>
          <w:tab w:val="left" w:pos="1080"/>
        </w:tabs>
        <w:autoSpaceDE w:val="0"/>
        <w:autoSpaceDN w:val="0"/>
        <w:adjustRightInd w:val="0"/>
        <w:spacing w:after="200"/>
        <w:ind w:left="393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B34584" w:rsidRPr="00B34584" w:rsidRDefault="00B34584" w:rsidP="00B3458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B34584" w:rsidRPr="00B34584" w:rsidRDefault="00B34584" w:rsidP="00B34584">
      <w:pPr>
        <w:numPr>
          <w:ilvl w:val="0"/>
          <w:numId w:val="9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B34584">
        <w:rPr>
          <w:rFonts w:ascii="Times New Roman" w:hAnsi="Times New Roman" w:cs="Times New Roman"/>
          <w:b/>
          <w:bCs/>
          <w:color w:val="000000"/>
        </w:rPr>
        <w:t>Literatura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34584" w:rsidRPr="00B34584" w:rsidTr="00B34584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Literatura podstawowa</w:t>
            </w: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34584">
              <w:rPr>
                <w:rFonts w:ascii="Times New Roman" w:hAnsi="Times New Roman" w:cs="Times New Roman"/>
                <w:color w:val="000000"/>
                <w:lang w:val="en-US"/>
              </w:rPr>
              <w:t>Gussenhoven</w:t>
            </w:r>
            <w:proofErr w:type="spellEnd"/>
            <w:r w:rsidRPr="00B34584">
              <w:rPr>
                <w:rFonts w:ascii="Times New Roman" w:hAnsi="Times New Roman" w:cs="Times New Roman"/>
                <w:color w:val="000000"/>
                <w:lang w:val="en-US"/>
              </w:rPr>
              <w:t>, C. and H. Jacobs (1998) Understanding Phonology. London: Arnold.</w:t>
            </w:r>
          </w:p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34584">
              <w:rPr>
                <w:rFonts w:ascii="Times New Roman" w:hAnsi="Times New Roman" w:cs="Times New Roman"/>
                <w:color w:val="000000"/>
                <w:lang w:val="en-US"/>
              </w:rPr>
              <w:t>Gussmann</w:t>
            </w:r>
            <w:proofErr w:type="spellEnd"/>
            <w:r w:rsidRPr="00B34584">
              <w:rPr>
                <w:rFonts w:ascii="Times New Roman" w:hAnsi="Times New Roman" w:cs="Times New Roman"/>
                <w:color w:val="000000"/>
                <w:lang w:val="en-US"/>
              </w:rPr>
              <w:t>, E. (2002) Phonology. Analysis and Theory. Cambridge: Cambridge University Press.</w:t>
            </w:r>
          </w:p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34584">
              <w:rPr>
                <w:rFonts w:ascii="Times New Roman" w:hAnsi="Times New Roman" w:cs="Times New Roman"/>
                <w:color w:val="000000"/>
                <w:lang w:val="en-US"/>
              </w:rPr>
              <w:t>Haspelmath</w:t>
            </w:r>
            <w:proofErr w:type="spellEnd"/>
            <w:r w:rsidRPr="00B34584">
              <w:rPr>
                <w:rFonts w:ascii="Times New Roman" w:hAnsi="Times New Roman" w:cs="Times New Roman"/>
                <w:color w:val="000000"/>
                <w:lang w:val="en-US"/>
              </w:rPr>
              <w:t>, M. and A. D. Smith (2002) Understanding Morphology. London: Hodder.</w:t>
            </w:r>
          </w:p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34584">
              <w:rPr>
                <w:rFonts w:ascii="Times New Roman" w:hAnsi="Times New Roman" w:cs="Times New Roman"/>
                <w:color w:val="000000"/>
                <w:lang w:val="en-US"/>
              </w:rPr>
              <w:t>Katamba</w:t>
            </w:r>
            <w:proofErr w:type="spellEnd"/>
            <w:r w:rsidRPr="00B34584">
              <w:rPr>
                <w:rFonts w:ascii="Times New Roman" w:hAnsi="Times New Roman" w:cs="Times New Roman"/>
                <w:color w:val="000000"/>
                <w:lang w:val="en-US"/>
              </w:rPr>
              <w:t xml:space="preserve">, F. (1994) English Words. London: Routledge. </w:t>
            </w:r>
          </w:p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34584">
              <w:rPr>
                <w:rFonts w:ascii="Times New Roman" w:hAnsi="Times New Roman" w:cs="Times New Roman"/>
                <w:color w:val="000000"/>
                <w:lang w:val="en-US"/>
              </w:rPr>
              <w:t xml:space="preserve">Lieber, R. (2009) Introducing Morphology. Cambridge: Cambridge University Press. </w:t>
            </w:r>
          </w:p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4584">
              <w:rPr>
                <w:rFonts w:ascii="Times New Roman" w:hAnsi="Times New Roman" w:cs="Times New Roman"/>
                <w:color w:val="000000"/>
                <w:lang w:val="en-US"/>
              </w:rPr>
              <w:t>Mańczak-Wohlfeld</w:t>
            </w:r>
            <w:proofErr w:type="spellEnd"/>
            <w:r w:rsidRPr="00B34584">
              <w:rPr>
                <w:rFonts w:ascii="Times New Roman" w:hAnsi="Times New Roman" w:cs="Times New Roman"/>
                <w:color w:val="000000"/>
                <w:lang w:val="en-US"/>
              </w:rPr>
              <w:t xml:space="preserve">, E. (2006) </w:t>
            </w:r>
            <w:proofErr w:type="spellStart"/>
            <w:r w:rsidRPr="00B34584">
              <w:rPr>
                <w:rFonts w:ascii="Times New Roman" w:hAnsi="Times New Roman" w:cs="Times New Roman"/>
                <w:color w:val="000000"/>
                <w:lang w:val="en-US"/>
              </w:rPr>
              <w:t>Angielsko-polskie</w:t>
            </w:r>
            <w:proofErr w:type="spellEnd"/>
            <w:r w:rsidRPr="00B3458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4584">
              <w:rPr>
                <w:rFonts w:ascii="Times New Roman" w:hAnsi="Times New Roman" w:cs="Times New Roman"/>
                <w:color w:val="000000"/>
                <w:lang w:val="en-US"/>
              </w:rPr>
              <w:t>kontakty</w:t>
            </w:r>
            <w:proofErr w:type="spellEnd"/>
            <w:r w:rsidRPr="00B3458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34584">
              <w:rPr>
                <w:rFonts w:ascii="Times New Roman" w:hAnsi="Times New Roman" w:cs="Times New Roman"/>
                <w:color w:val="000000"/>
                <w:lang w:val="en-US"/>
              </w:rPr>
              <w:t>językowe</w:t>
            </w:r>
            <w:proofErr w:type="spellEnd"/>
            <w:r w:rsidRPr="00B34584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 w:rsidRPr="00B34584">
              <w:rPr>
                <w:rFonts w:ascii="Times New Roman" w:hAnsi="Times New Roman" w:cs="Times New Roman"/>
                <w:color w:val="000000"/>
              </w:rPr>
              <w:t xml:space="preserve">Kraków: Wydawnictwo Uniwersytetu Jagiellońskiego. </w:t>
            </w:r>
          </w:p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 xml:space="preserve">Szymanek, B. (1989) </w:t>
            </w:r>
            <w:proofErr w:type="spellStart"/>
            <w:r w:rsidRPr="00B34584">
              <w:rPr>
                <w:rFonts w:ascii="Times New Roman" w:hAnsi="Times New Roman" w:cs="Times New Roman"/>
                <w:color w:val="000000"/>
              </w:rPr>
              <w:t>Introduction</w:t>
            </w:r>
            <w:proofErr w:type="spellEnd"/>
            <w:r w:rsidRPr="00B34584">
              <w:rPr>
                <w:rFonts w:ascii="Times New Roman" w:hAnsi="Times New Roman" w:cs="Times New Roman"/>
                <w:color w:val="000000"/>
              </w:rPr>
              <w:t xml:space="preserve"> to </w:t>
            </w:r>
            <w:proofErr w:type="spellStart"/>
            <w:r w:rsidRPr="00B34584">
              <w:rPr>
                <w:rFonts w:ascii="Times New Roman" w:hAnsi="Times New Roman" w:cs="Times New Roman"/>
                <w:color w:val="000000"/>
              </w:rPr>
              <w:t>Morphological</w:t>
            </w:r>
            <w:proofErr w:type="spellEnd"/>
            <w:r w:rsidRPr="00B34584">
              <w:rPr>
                <w:rFonts w:ascii="Times New Roman" w:hAnsi="Times New Roman" w:cs="Times New Roman"/>
                <w:color w:val="000000"/>
              </w:rPr>
              <w:t xml:space="preserve"> Analysis. Warszawa: PWN.</w:t>
            </w:r>
          </w:p>
        </w:tc>
      </w:tr>
      <w:tr w:rsidR="00B34584" w:rsidRPr="00B34584" w:rsidTr="00B3458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34584">
              <w:rPr>
                <w:rFonts w:ascii="Times New Roman" w:hAnsi="Times New Roman" w:cs="Times New Roman"/>
                <w:color w:val="000000"/>
              </w:rPr>
              <w:t>Literatura uzupełniająca</w:t>
            </w:r>
          </w:p>
        </w:tc>
      </w:tr>
      <w:tr w:rsidR="00B34584" w:rsidRPr="00B34584" w:rsidTr="00B34584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34584">
              <w:rPr>
                <w:rFonts w:ascii="Times New Roman" w:hAnsi="Times New Roman" w:cs="Times New Roman"/>
                <w:color w:val="000000"/>
                <w:lang w:val="en-US"/>
              </w:rPr>
              <w:t>Backley</w:t>
            </w:r>
            <w:proofErr w:type="spellEnd"/>
            <w:r w:rsidRPr="00B34584">
              <w:rPr>
                <w:rFonts w:ascii="Times New Roman" w:hAnsi="Times New Roman" w:cs="Times New Roman"/>
                <w:color w:val="000000"/>
                <w:lang w:val="en-US"/>
              </w:rPr>
              <w:t>, P. (2011) An introduction to Element Theory. Edinburgh: Edinburgh University Press.</w:t>
            </w:r>
          </w:p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34584">
              <w:rPr>
                <w:rFonts w:ascii="Times New Roman" w:hAnsi="Times New Roman" w:cs="Times New Roman"/>
                <w:color w:val="000000"/>
                <w:lang w:val="en-US"/>
              </w:rPr>
              <w:t>Cyran</w:t>
            </w:r>
            <w:proofErr w:type="spellEnd"/>
            <w:r w:rsidRPr="00B34584">
              <w:rPr>
                <w:rFonts w:ascii="Times New Roman" w:hAnsi="Times New Roman" w:cs="Times New Roman"/>
                <w:color w:val="000000"/>
                <w:lang w:val="en-US"/>
              </w:rPr>
              <w:t xml:space="preserve">, E. (2010) Complexity Scales and Licensing in Phonology. Berlin: Mouton. </w:t>
            </w:r>
          </w:p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34584">
              <w:rPr>
                <w:rFonts w:ascii="Times New Roman" w:hAnsi="Times New Roman" w:cs="Times New Roman"/>
                <w:color w:val="000000"/>
                <w:lang w:val="en-US"/>
              </w:rPr>
              <w:t>Cyran</w:t>
            </w:r>
            <w:proofErr w:type="spellEnd"/>
            <w:r w:rsidRPr="00B34584">
              <w:rPr>
                <w:rFonts w:ascii="Times New Roman" w:hAnsi="Times New Roman" w:cs="Times New Roman"/>
                <w:color w:val="000000"/>
                <w:lang w:val="en-US"/>
              </w:rPr>
              <w:t xml:space="preserve">, E. (2013) Polish Voicing. Between Phonology and Phonetics. Lublin: </w:t>
            </w:r>
            <w:proofErr w:type="spellStart"/>
            <w:r w:rsidRPr="00B34584">
              <w:rPr>
                <w:rFonts w:ascii="Times New Roman" w:hAnsi="Times New Roman" w:cs="Times New Roman"/>
                <w:color w:val="000000"/>
                <w:lang w:val="en-US"/>
              </w:rPr>
              <w:t>Wydawnictwo</w:t>
            </w:r>
            <w:proofErr w:type="spellEnd"/>
            <w:r w:rsidRPr="00B34584">
              <w:rPr>
                <w:rFonts w:ascii="Times New Roman" w:hAnsi="Times New Roman" w:cs="Times New Roman"/>
                <w:color w:val="000000"/>
                <w:lang w:val="en-US"/>
              </w:rPr>
              <w:t xml:space="preserve"> KUL.</w:t>
            </w:r>
          </w:p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34584">
              <w:rPr>
                <w:rFonts w:ascii="Times New Roman" w:hAnsi="Times New Roman" w:cs="Times New Roman"/>
                <w:color w:val="000000"/>
                <w:lang w:val="en-US"/>
              </w:rPr>
              <w:t>Gussmann</w:t>
            </w:r>
            <w:proofErr w:type="spellEnd"/>
            <w:r w:rsidRPr="00B34584">
              <w:rPr>
                <w:rFonts w:ascii="Times New Roman" w:hAnsi="Times New Roman" w:cs="Times New Roman"/>
                <w:color w:val="000000"/>
                <w:lang w:val="en-US"/>
              </w:rPr>
              <w:t>, E. (2007) The Phonology of Polish. Oxford: Oxford University Press.</w:t>
            </w:r>
          </w:p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34584">
              <w:rPr>
                <w:rFonts w:ascii="Times New Roman" w:hAnsi="Times New Roman" w:cs="Times New Roman"/>
                <w:color w:val="000000"/>
                <w:lang w:val="en-US"/>
              </w:rPr>
              <w:t>Harris, J. (1994) English Sound Structure. Oxford: Blackwell.</w:t>
            </w:r>
          </w:p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34584">
              <w:rPr>
                <w:rFonts w:ascii="Times New Roman" w:hAnsi="Times New Roman" w:cs="Times New Roman"/>
                <w:color w:val="000000"/>
                <w:lang w:val="en-US"/>
              </w:rPr>
              <w:t xml:space="preserve">Hogg, R. (2002) An Introduction to Old English. Edinburgh: Edinburgh University Press. </w:t>
            </w:r>
          </w:p>
          <w:p w:rsidR="00B34584" w:rsidRPr="00B34584" w:rsidRDefault="00B3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4584">
              <w:rPr>
                <w:rFonts w:ascii="Times New Roman" w:hAnsi="Times New Roman" w:cs="Times New Roman"/>
                <w:color w:val="000000"/>
                <w:lang w:val="en-US"/>
              </w:rPr>
              <w:t>Horobin</w:t>
            </w:r>
            <w:proofErr w:type="spellEnd"/>
            <w:r w:rsidRPr="00B34584">
              <w:rPr>
                <w:rFonts w:ascii="Times New Roman" w:hAnsi="Times New Roman" w:cs="Times New Roman"/>
                <w:color w:val="000000"/>
                <w:lang w:val="en-US"/>
              </w:rPr>
              <w:t xml:space="preserve">, S. and J. Smith (2002) An Introduction to Middle English. </w:t>
            </w:r>
            <w:proofErr w:type="spellStart"/>
            <w:r w:rsidRPr="00B34584">
              <w:rPr>
                <w:rFonts w:ascii="Times New Roman" w:hAnsi="Times New Roman" w:cs="Times New Roman"/>
                <w:color w:val="000000"/>
              </w:rPr>
              <w:t>Edinburgh</w:t>
            </w:r>
            <w:proofErr w:type="spellEnd"/>
            <w:r w:rsidRPr="00B34584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B34584">
              <w:rPr>
                <w:rFonts w:ascii="Times New Roman" w:hAnsi="Times New Roman" w:cs="Times New Roman"/>
                <w:color w:val="000000"/>
              </w:rPr>
              <w:t>Edinburgh</w:t>
            </w:r>
            <w:proofErr w:type="spellEnd"/>
            <w:r w:rsidRPr="00B34584">
              <w:rPr>
                <w:rFonts w:ascii="Times New Roman" w:hAnsi="Times New Roman" w:cs="Times New Roman"/>
                <w:color w:val="000000"/>
              </w:rPr>
              <w:t xml:space="preserve"> University Press.</w:t>
            </w:r>
          </w:p>
        </w:tc>
      </w:tr>
    </w:tbl>
    <w:p w:rsidR="00B34584" w:rsidRPr="00B34584" w:rsidRDefault="00B34584" w:rsidP="00B34584">
      <w:pPr>
        <w:tabs>
          <w:tab w:val="left" w:pos="1080"/>
        </w:tabs>
        <w:autoSpaceDE w:val="0"/>
        <w:autoSpaceDN w:val="0"/>
        <w:adjustRightInd w:val="0"/>
        <w:spacing w:after="200"/>
        <w:ind w:left="393"/>
        <w:rPr>
          <w:rFonts w:ascii="Times New Roman" w:hAnsi="Times New Roman" w:cs="Times New Roman"/>
          <w:color w:val="000000"/>
        </w:rPr>
      </w:pPr>
    </w:p>
    <w:p w:rsidR="001C7D18" w:rsidRPr="00B34584" w:rsidRDefault="001C7D18">
      <w:pPr>
        <w:rPr>
          <w:rFonts w:ascii="Times New Roman" w:hAnsi="Times New Roman" w:cs="Times New Roman"/>
        </w:rPr>
      </w:pPr>
    </w:p>
    <w:sectPr w:rsidR="001C7D18" w:rsidRPr="00B34584" w:rsidSect="00212173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3F4" w:rsidRDefault="00B123F4" w:rsidP="00B34584">
      <w:r>
        <w:separator/>
      </w:r>
    </w:p>
  </w:endnote>
  <w:endnote w:type="continuationSeparator" w:id="0">
    <w:p w:rsidR="00B123F4" w:rsidRDefault="00B123F4" w:rsidP="00B3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3F4" w:rsidRDefault="00B123F4" w:rsidP="00B34584">
      <w:r>
        <w:separator/>
      </w:r>
    </w:p>
  </w:footnote>
  <w:footnote w:type="continuationSeparator" w:id="0">
    <w:p w:rsidR="00B123F4" w:rsidRDefault="00B123F4" w:rsidP="00B34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584" w:rsidRPr="00B34584" w:rsidRDefault="00B34584" w:rsidP="00B34584">
    <w:pPr>
      <w:pStyle w:val="Nagwek"/>
      <w:jc w:val="right"/>
      <w:rPr>
        <w:rFonts w:ascii="Times New Roman" w:hAnsi="Times New Roman" w:cs="Times New Roman"/>
        <w:i/>
      </w:rPr>
    </w:pPr>
    <w:r w:rsidRPr="00B34584">
      <w:rPr>
        <w:rFonts w:ascii="Times New Roman" w:hAnsi="Times New Roman" w:cs="Times New Roman"/>
        <w:i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4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6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7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8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84"/>
    <w:rsid w:val="001C7D18"/>
    <w:rsid w:val="006A36D9"/>
    <w:rsid w:val="00766058"/>
    <w:rsid w:val="008F1E0D"/>
    <w:rsid w:val="00B123F4"/>
    <w:rsid w:val="00B34584"/>
    <w:rsid w:val="00D13F29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07C74D"/>
  <w15:chartTrackingRefBased/>
  <w15:docId w15:val="{7F5A0973-FE1F-3B4E-8EAA-9C1BC704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5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584"/>
  </w:style>
  <w:style w:type="paragraph" w:styleId="Stopka">
    <w:name w:val="footer"/>
    <w:basedOn w:val="Normalny"/>
    <w:link w:val="StopkaZnak"/>
    <w:uiPriority w:val="99"/>
    <w:unhideWhenUsed/>
    <w:rsid w:val="00B345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1056</Words>
  <Characters>6341</Characters>
  <Application>Microsoft Office Word</Application>
  <DocSecurity>0</DocSecurity>
  <Lines>52</Lines>
  <Paragraphs>14</Paragraphs>
  <ScaleCrop>false</ScaleCrop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2020-10-04T17:22:00Z</dcterms:created>
  <dcterms:modified xsi:type="dcterms:W3CDTF">2020-10-04T17:27:00Z</dcterms:modified>
</cp:coreProperties>
</file>