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F6" w:rsidRPr="006B2EF6" w:rsidRDefault="006B2EF6" w:rsidP="006B2EF6">
      <w:pPr>
        <w:autoSpaceDE w:val="0"/>
        <w:autoSpaceDN w:val="0"/>
        <w:adjustRightInd w:val="0"/>
        <w:spacing w:after="200" w:line="276" w:lineRule="auto"/>
        <w:rPr>
          <w:rFonts w:ascii="Times New Roman" w:hAnsi="Times New Roman" w:cs="Times New Roman"/>
          <w:b/>
          <w:bCs/>
          <w:color w:val="000000"/>
        </w:rPr>
      </w:pPr>
      <w:r w:rsidRPr="006B2EF6">
        <w:rPr>
          <w:rFonts w:ascii="Times New Roman" w:hAnsi="Times New Roman" w:cs="Times New Roman"/>
          <w:b/>
          <w:bCs/>
          <w:color w:val="000000"/>
        </w:rPr>
        <w:t xml:space="preserve">KARTA PRZEDMIOTU </w:t>
      </w:r>
    </w:p>
    <w:p w:rsidR="006B2EF6" w:rsidRPr="006B2EF6" w:rsidRDefault="006B2EF6" w:rsidP="006B2EF6">
      <w:pPr>
        <w:autoSpaceDE w:val="0"/>
        <w:autoSpaceDN w:val="0"/>
        <w:adjustRightInd w:val="0"/>
        <w:spacing w:after="200" w:line="276" w:lineRule="auto"/>
        <w:rPr>
          <w:rFonts w:ascii="Times New Roman" w:hAnsi="Times New Roman" w:cs="Times New Roman"/>
          <w:b/>
          <w:bCs/>
          <w:color w:val="000000"/>
        </w:rPr>
      </w:pPr>
    </w:p>
    <w:p w:rsidR="006B2EF6" w:rsidRPr="006B2EF6" w:rsidRDefault="006B2EF6" w:rsidP="006B2EF6">
      <w:pPr>
        <w:numPr>
          <w:ilvl w:val="0"/>
          <w:numId w:val="1"/>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Dane podstawowe</w:t>
      </w:r>
    </w:p>
    <w:tbl>
      <w:tblPr>
        <w:tblW w:w="9889" w:type="dxa"/>
        <w:tblInd w:w="-118" w:type="dxa"/>
        <w:tblBorders>
          <w:top w:val="nil"/>
          <w:left w:val="nil"/>
          <w:right w:val="nil"/>
        </w:tblBorders>
        <w:tblLayout w:type="fixed"/>
        <w:tblLook w:val="0000" w:firstRow="0" w:lastRow="0" w:firstColumn="0" w:lastColumn="0" w:noHBand="0" w:noVBand="0"/>
      </w:tblPr>
      <w:tblGrid>
        <w:gridCol w:w="4180"/>
        <w:gridCol w:w="5709"/>
      </w:tblGrid>
      <w:tr w:rsidR="006B2EF6" w:rsidRPr="006B2EF6" w:rsidTr="006B2EF6">
        <w:tblPrEx>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rPr>
                <w:rFonts w:ascii="Times New Roman" w:hAnsi="Times New Roman" w:cs="Times New Roman"/>
                <w:kern w:val="1"/>
              </w:rPr>
            </w:pPr>
            <w:r w:rsidRPr="006B2EF6">
              <w:rPr>
                <w:rFonts w:ascii="Times New Roman" w:hAnsi="Times New Roman" w:cs="Times New Roman"/>
                <w:color w:val="000000"/>
              </w:rPr>
              <w:t>Nazwa przedmiotu</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Literaturoznawstwo (seminarium)</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Nazwa przedmiotu w języku angielskim</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roofErr w:type="spellStart"/>
            <w:r w:rsidRPr="006B2EF6">
              <w:rPr>
                <w:rFonts w:ascii="Times New Roman" w:hAnsi="Times New Roman" w:cs="Times New Roman"/>
                <w:color w:val="000000"/>
              </w:rPr>
              <w:t>Literary</w:t>
            </w:r>
            <w:proofErr w:type="spellEnd"/>
            <w:r w:rsidRPr="006B2EF6">
              <w:rPr>
                <w:rFonts w:ascii="Times New Roman" w:hAnsi="Times New Roman" w:cs="Times New Roman"/>
                <w:color w:val="000000"/>
              </w:rPr>
              <w:t xml:space="preserve"> </w:t>
            </w:r>
            <w:proofErr w:type="spellStart"/>
            <w:r w:rsidRPr="006B2EF6">
              <w:rPr>
                <w:rFonts w:ascii="Times New Roman" w:hAnsi="Times New Roman" w:cs="Times New Roman"/>
                <w:color w:val="000000"/>
              </w:rPr>
              <w:t>studies</w:t>
            </w:r>
            <w:proofErr w:type="spellEnd"/>
            <w:r w:rsidRPr="006B2EF6">
              <w:rPr>
                <w:rFonts w:ascii="Times New Roman" w:hAnsi="Times New Roman" w:cs="Times New Roman"/>
                <w:color w:val="000000"/>
              </w:rPr>
              <w:t xml:space="preserve"> (</w:t>
            </w:r>
            <w:proofErr w:type="spellStart"/>
            <w:r w:rsidRPr="006B2EF6">
              <w:rPr>
                <w:rFonts w:ascii="Times New Roman" w:hAnsi="Times New Roman" w:cs="Times New Roman"/>
                <w:color w:val="000000"/>
              </w:rPr>
              <w:t>seminar</w:t>
            </w:r>
            <w:proofErr w:type="spellEnd"/>
            <w:r w:rsidRPr="006B2EF6">
              <w:rPr>
                <w:rFonts w:ascii="Times New Roman" w:hAnsi="Times New Roman" w:cs="Times New Roman"/>
                <w:color w:val="000000"/>
              </w:rPr>
              <w:t>)</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Kierunek studiów </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filologia angielska</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Poziom studiów (I, II, jednolite magisterskie)</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II</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Forma studiów (stacjonarne, niestacjonarne)</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niestacjonarne</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Dyscyplina</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Literaturoznawstwo</w:t>
            </w:r>
          </w:p>
        </w:tc>
      </w:tr>
      <w:tr w:rsidR="006B2EF6" w:rsidRPr="006B2EF6" w:rsidTr="006B2EF6">
        <w:tblPrEx>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Język wykładowy</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Język angielski</w:t>
            </w:r>
          </w:p>
        </w:tc>
      </w:tr>
    </w:tbl>
    <w:p w:rsidR="006B2EF6" w:rsidRPr="006B2EF6" w:rsidRDefault="006B2EF6" w:rsidP="006B2EF6">
      <w:pPr>
        <w:autoSpaceDE w:val="0"/>
        <w:autoSpaceDN w:val="0"/>
        <w:adjustRightInd w:val="0"/>
        <w:spacing w:line="276" w:lineRule="auto"/>
        <w:rPr>
          <w:rFonts w:ascii="Times New Roman" w:hAnsi="Times New Roman" w:cs="Times New Roman"/>
          <w:color w:val="000000"/>
        </w:rPr>
      </w:pPr>
    </w:p>
    <w:tbl>
      <w:tblPr>
        <w:tblW w:w="9889" w:type="dxa"/>
        <w:tblInd w:w="-118" w:type="dxa"/>
        <w:tblBorders>
          <w:top w:val="nil"/>
          <w:left w:val="nil"/>
          <w:right w:val="nil"/>
        </w:tblBorders>
        <w:tblLayout w:type="fixed"/>
        <w:tblLook w:val="0000" w:firstRow="0" w:lastRow="0" w:firstColumn="0" w:lastColumn="0" w:noHBand="0" w:noVBand="0"/>
      </w:tblPr>
      <w:tblGrid>
        <w:gridCol w:w="4180"/>
        <w:gridCol w:w="5709"/>
      </w:tblGrid>
      <w:tr w:rsidR="006B2EF6" w:rsidRPr="006B2EF6" w:rsidTr="006B2EF6">
        <w:tblPrEx>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rPr>
                <w:rFonts w:ascii="Times New Roman" w:hAnsi="Times New Roman" w:cs="Times New Roman"/>
                <w:kern w:val="1"/>
              </w:rPr>
            </w:pPr>
            <w:r w:rsidRPr="006B2EF6">
              <w:rPr>
                <w:rFonts w:ascii="Times New Roman" w:hAnsi="Times New Roman" w:cs="Times New Roman"/>
                <w:color w:val="000000"/>
              </w:rPr>
              <w:t>Koordynator przedmiotu/osoba odpowiedzialna</w:t>
            </w:r>
          </w:p>
        </w:tc>
        <w:tc>
          <w:tcPr>
            <w:tcW w:w="5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dr hab. Grzegorz Maziarczyk, prof. KUL </w:t>
            </w:r>
          </w:p>
        </w:tc>
      </w:tr>
    </w:tbl>
    <w:p w:rsidR="006B2EF6" w:rsidRPr="006B2EF6" w:rsidRDefault="006B2EF6" w:rsidP="006B2EF6">
      <w:pPr>
        <w:autoSpaceDE w:val="0"/>
        <w:autoSpaceDN w:val="0"/>
        <w:adjustRightInd w:val="0"/>
        <w:rPr>
          <w:rFonts w:ascii="Times New Roman" w:hAnsi="Times New Roman" w:cs="Times New Roman"/>
          <w:color w:val="000000"/>
        </w:rPr>
      </w:pPr>
    </w:p>
    <w:tbl>
      <w:tblPr>
        <w:tblW w:w="9747" w:type="dxa"/>
        <w:tblInd w:w="-118" w:type="dxa"/>
        <w:tblBorders>
          <w:top w:val="nil"/>
          <w:left w:val="nil"/>
          <w:right w:val="nil"/>
        </w:tblBorders>
        <w:tblLayout w:type="fixed"/>
        <w:tblLook w:val="0000" w:firstRow="0" w:lastRow="0" w:firstColumn="0" w:lastColumn="0" w:noHBand="0" w:noVBand="0"/>
      </w:tblPr>
      <w:tblGrid>
        <w:gridCol w:w="1920"/>
        <w:gridCol w:w="1900"/>
        <w:gridCol w:w="1900"/>
        <w:gridCol w:w="4027"/>
      </w:tblGrid>
      <w:tr w:rsidR="006B2EF6" w:rsidRPr="006B2EF6" w:rsidTr="006B2EF6">
        <w:tblPrEx>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jc w:val="center"/>
              <w:rPr>
                <w:rFonts w:ascii="Times New Roman" w:hAnsi="Times New Roman" w:cs="Times New Roman"/>
                <w:kern w:val="1"/>
              </w:rPr>
            </w:pPr>
            <w:r w:rsidRPr="006B2EF6">
              <w:rPr>
                <w:rFonts w:ascii="Times New Roman" w:hAnsi="Times New Roman" w:cs="Times New Roman"/>
                <w:color w:val="000000"/>
              </w:rPr>
              <w:t xml:space="preserve">Forma zajęć </w:t>
            </w:r>
            <w:r w:rsidRPr="006B2EF6">
              <w:rPr>
                <w:rFonts w:ascii="Times New Roman" w:hAnsi="Times New Roman" w:cs="Times New Roman"/>
                <w:i/>
                <w:iCs/>
                <w:color w:val="000000"/>
              </w:rPr>
              <w:t>(katalog zamknięty ze słownika)</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Liczba godzin</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semestr</w:t>
            </w:r>
          </w:p>
        </w:tc>
        <w:tc>
          <w:tcPr>
            <w:tcW w:w="40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Punkty ECTS</w:t>
            </w: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wykład</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20</w:t>
            </w: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konwersatorium</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ćwiczenia</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laboratorium</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warsztaty</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seminarium</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120</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I-IV</w:t>
            </w: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proseminarium</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lektorat</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praktyki</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zajęcia terenowe</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pracownia dyplomowa</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roofErr w:type="spellStart"/>
            <w:r w:rsidRPr="006B2EF6">
              <w:rPr>
                <w:rFonts w:ascii="Times New Roman" w:hAnsi="Times New Roman" w:cs="Times New Roman"/>
                <w:color w:val="000000"/>
              </w:rPr>
              <w:t>translatorium</w:t>
            </w:r>
            <w:proofErr w:type="spellEnd"/>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p>
        </w:tc>
      </w:tr>
      <w:tr w:rsidR="006B2EF6" w:rsidRPr="006B2EF6" w:rsidTr="006B2EF6">
        <w:tblPrEx>
          <w:tblCellMar>
            <w:top w:w="0" w:type="dxa"/>
            <w:bottom w:w="0" w:type="dxa"/>
          </w:tblCellMar>
        </w:tblPrEx>
        <w:tc>
          <w:tcPr>
            <w:tcW w:w="1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wizyta studyjna</w:t>
            </w: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402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p>
        </w:tc>
      </w:tr>
    </w:tbl>
    <w:p w:rsidR="006B2EF6" w:rsidRPr="006B2EF6" w:rsidRDefault="006B2EF6" w:rsidP="006B2EF6">
      <w:pPr>
        <w:autoSpaceDE w:val="0"/>
        <w:autoSpaceDN w:val="0"/>
        <w:adjustRightInd w:val="0"/>
        <w:spacing w:line="276" w:lineRule="auto"/>
        <w:rPr>
          <w:rFonts w:ascii="Times New Roman" w:hAnsi="Times New Roman" w:cs="Times New Roman"/>
          <w:color w:val="000000"/>
        </w:rPr>
      </w:pPr>
    </w:p>
    <w:tbl>
      <w:tblPr>
        <w:tblW w:w="9747" w:type="dxa"/>
        <w:tblInd w:w="-118" w:type="dxa"/>
        <w:tblBorders>
          <w:top w:val="nil"/>
          <w:left w:val="nil"/>
          <w:right w:val="nil"/>
        </w:tblBorders>
        <w:tblLayout w:type="fixed"/>
        <w:tblLook w:val="0000" w:firstRow="0" w:lastRow="0" w:firstColumn="0" w:lastColumn="0" w:noHBand="0" w:noVBand="0"/>
      </w:tblPr>
      <w:tblGrid>
        <w:gridCol w:w="1951"/>
        <w:gridCol w:w="7796"/>
      </w:tblGrid>
      <w:tr w:rsidR="006B2EF6" w:rsidRPr="006B2EF6" w:rsidTr="006B2EF6">
        <w:tblPrEx>
          <w:tblCellMar>
            <w:top w:w="0" w:type="dxa"/>
            <w:bottom w:w="0" w:type="dxa"/>
          </w:tblCellMar>
        </w:tblPrEx>
        <w:tc>
          <w:tcPr>
            <w:tcW w:w="19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rPr>
                <w:rFonts w:ascii="Times New Roman" w:hAnsi="Times New Roman" w:cs="Times New Roman"/>
                <w:kern w:val="1"/>
              </w:rPr>
            </w:pPr>
            <w:r w:rsidRPr="006B2EF6">
              <w:rPr>
                <w:rFonts w:ascii="Times New Roman" w:hAnsi="Times New Roman" w:cs="Times New Roman"/>
                <w:color w:val="000000"/>
              </w:rPr>
              <w:t>Wymagania wstępne</w:t>
            </w:r>
          </w:p>
        </w:tc>
        <w:tc>
          <w:tcPr>
            <w:tcW w:w="779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Zaawansowana znajomość języka angielskiego, podstawowe umiejętności analizy i interpretacji tekstu narracyjnego (terminologia, zasady interpretacji, itp.), podstawowa znajomość literatury anglojęzycznej. Podstawowe umiejętności w zakresie </w:t>
            </w:r>
            <w:proofErr w:type="spellStart"/>
            <w:r w:rsidRPr="006B2EF6">
              <w:rPr>
                <w:rFonts w:ascii="Times New Roman" w:hAnsi="Times New Roman" w:cs="Times New Roman"/>
                <w:i/>
                <w:iCs/>
                <w:color w:val="000000"/>
              </w:rPr>
              <w:t>academic</w:t>
            </w:r>
            <w:proofErr w:type="spellEnd"/>
            <w:r w:rsidRPr="006B2EF6">
              <w:rPr>
                <w:rFonts w:ascii="Times New Roman" w:hAnsi="Times New Roman" w:cs="Times New Roman"/>
                <w:i/>
                <w:iCs/>
                <w:color w:val="000000"/>
              </w:rPr>
              <w:t xml:space="preserve"> </w:t>
            </w:r>
            <w:proofErr w:type="spellStart"/>
            <w:r w:rsidRPr="006B2EF6">
              <w:rPr>
                <w:rFonts w:ascii="Times New Roman" w:hAnsi="Times New Roman" w:cs="Times New Roman"/>
                <w:i/>
                <w:iCs/>
                <w:color w:val="000000"/>
              </w:rPr>
              <w:t>writing</w:t>
            </w:r>
            <w:proofErr w:type="spellEnd"/>
            <w:r w:rsidRPr="006B2EF6">
              <w:rPr>
                <w:rFonts w:ascii="Times New Roman" w:hAnsi="Times New Roman" w:cs="Times New Roman"/>
                <w:i/>
                <w:iCs/>
                <w:color w:val="000000"/>
              </w:rPr>
              <w:t>.</w:t>
            </w:r>
          </w:p>
        </w:tc>
      </w:tr>
    </w:tbl>
    <w:p w:rsidR="006B2EF6" w:rsidRPr="006B2EF6" w:rsidRDefault="006B2EF6" w:rsidP="006B2EF6">
      <w:pPr>
        <w:numPr>
          <w:ilvl w:val="0"/>
          <w:numId w:val="2"/>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lastRenderedPageBreak/>
        <w:t xml:space="preserve">Cele kształcenia dla przedmiotu </w:t>
      </w: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6B2EF6" w:rsidRPr="006B2EF6" w:rsidTr="006B2EF6">
        <w:tblPrEx>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C1 Podstawowy cel to napisanie przez każdego z uczestników seminarium pracy magisterskiej. Zasadniczo prace rozpatrują wybrane zagadnienia literaturoznawcze w obrębie tematyki seminarium.</w:t>
            </w:r>
          </w:p>
        </w:tc>
      </w:tr>
      <w:tr w:rsidR="006B2EF6" w:rsidRPr="006B2EF6" w:rsidTr="006B2EF6">
        <w:tblPrEx>
          <w:tblBorders>
            <w:top w:val="none" w:sz="0" w:space="0" w:color="auto"/>
          </w:tblBorders>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C2 Zaawansowana znajomość literatury angielskiej oraz problematyki literaturoznawczej, dobra znajomość problematyki metodologii nauk humanistycznych (w szczególności literaturoznawstwa) oraz podstawowych zagadnień w tej dziedzinie.</w:t>
            </w:r>
          </w:p>
        </w:tc>
      </w:tr>
      <w:tr w:rsidR="006B2EF6" w:rsidRPr="006B2EF6" w:rsidTr="006B2EF6">
        <w:tblPrEx>
          <w:tblBorders>
            <w:top w:val="none" w:sz="0" w:space="0" w:color="auto"/>
          </w:tblBorders>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C3 Umiejętność krytycznego czytania prac krytycznoliterackich oraz zdolność analizy i interpretacji tekstów literackich.</w:t>
            </w:r>
          </w:p>
        </w:tc>
      </w:tr>
      <w:tr w:rsidR="006B2EF6" w:rsidRPr="006B2EF6" w:rsidTr="006B2EF6">
        <w:tblPrEx>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C4 Dobra umiejętność  współpracy z innymi uczestnikami seminarium (tj. formułowania i korzystania z konstruktywnej krytyki), oraz dobre techniczne (warsztatowe) umiejętności pisania prac naukowych (wybór tematu, przygotowanie projektu, wybór metody, gromadzenie bibliografii, sporządzanie przypisów itd.) oraz przejrzystego i zwięzłego, logicznego i językowo poprawnego przedstawienia wyników badań.</w:t>
            </w:r>
          </w:p>
        </w:tc>
      </w:tr>
    </w:tbl>
    <w:p w:rsidR="006B2EF6" w:rsidRPr="006B2EF6" w:rsidRDefault="006B2EF6" w:rsidP="006B2EF6">
      <w:pPr>
        <w:autoSpaceDE w:val="0"/>
        <w:autoSpaceDN w:val="0"/>
        <w:adjustRightInd w:val="0"/>
        <w:spacing w:line="276" w:lineRule="auto"/>
        <w:rPr>
          <w:rFonts w:ascii="Times New Roman" w:hAnsi="Times New Roman" w:cs="Times New Roman"/>
          <w:color w:val="000000"/>
        </w:rPr>
      </w:pPr>
    </w:p>
    <w:p w:rsidR="006B2EF6" w:rsidRPr="006B2EF6" w:rsidRDefault="006B2EF6" w:rsidP="006B2EF6">
      <w:pPr>
        <w:numPr>
          <w:ilvl w:val="0"/>
          <w:numId w:val="3"/>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Efekty uczenia się dla przedmiotu wraz z odniesieniem do efektów kierunkowych</w:t>
      </w:r>
    </w:p>
    <w:p w:rsidR="006B2EF6" w:rsidRPr="006B2EF6" w:rsidRDefault="006B2EF6" w:rsidP="006B2EF6">
      <w:pPr>
        <w:autoSpaceDE w:val="0"/>
        <w:autoSpaceDN w:val="0"/>
        <w:adjustRightInd w:val="0"/>
        <w:spacing w:line="312" w:lineRule="auto"/>
        <w:rPr>
          <w:rFonts w:ascii="Times New Roman" w:hAnsi="Times New Roman" w:cs="Times New Roman"/>
          <w:color w:val="F6000B"/>
        </w:rPr>
      </w:pPr>
    </w:p>
    <w:tbl>
      <w:tblPr>
        <w:tblW w:w="9747" w:type="dxa"/>
        <w:tblInd w:w="-118" w:type="dxa"/>
        <w:tblBorders>
          <w:top w:val="nil"/>
          <w:left w:val="nil"/>
          <w:right w:val="nil"/>
        </w:tblBorders>
        <w:tblLayout w:type="fixed"/>
        <w:tblLook w:val="0000" w:firstRow="0" w:lastRow="0" w:firstColumn="0" w:lastColumn="0" w:noHBand="0" w:noVBand="0"/>
      </w:tblPr>
      <w:tblGrid>
        <w:gridCol w:w="817"/>
        <w:gridCol w:w="5383"/>
        <w:gridCol w:w="3547"/>
      </w:tblGrid>
      <w:tr w:rsidR="006B2EF6" w:rsidRPr="006B2EF6" w:rsidTr="006B2EF6">
        <w:tblPrEx>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spacing w:after="200" w:line="276" w:lineRule="auto"/>
              <w:jc w:val="center"/>
              <w:rPr>
                <w:rFonts w:ascii="Times New Roman" w:hAnsi="Times New Roman" w:cs="Times New Roman"/>
                <w:kern w:val="1"/>
              </w:rPr>
            </w:pPr>
            <w:r w:rsidRPr="006B2EF6">
              <w:rPr>
                <w:rFonts w:ascii="Times New Roman" w:hAnsi="Times New Roman" w:cs="Times New Roman"/>
                <w:color w:val="000000"/>
              </w:rPr>
              <w:t>Symbol</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Opis efektu przedmiotowego</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Odniesienie do efektu kierunkowego</w:t>
            </w:r>
          </w:p>
        </w:tc>
      </w:tr>
      <w:tr w:rsidR="006B2EF6" w:rsidRPr="006B2EF6" w:rsidTr="006B2EF6">
        <w:tblPrEx>
          <w:tblBorders>
            <w:top w:val="none" w:sz="0" w:space="0" w:color="auto"/>
          </w:tblBorders>
          <w:tblCellMar>
            <w:top w:w="0" w:type="dxa"/>
            <w:bottom w:w="0" w:type="dxa"/>
          </w:tblCellMar>
        </w:tblPrEx>
        <w:tc>
          <w:tcPr>
            <w:tcW w:w="9747"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WIEDZA</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W_01</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ma zaawansowaną wiedzę na temat literatury anglojęzycznej w zakresie objętym tematyką seminarium.</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K_W02, K_W04, K_W07</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W_02</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ma pogłębioną i rozszerzoną wiedzę na temat wybranego przez siebie zagadnienia dotyczącego dzieła literackiego bądź też relacji między literaturą a innymi wytworami kultury.</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K_W02, K_W04, K_W07</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W_03</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zna anglojęzyczną terminologię potrzebną do opisu, analizy i interpretacji współczesnej prozy (tj. terminologię teorii utworu narracyjnego) oraz innych zagadnień związanych ze szczegółową tematyką seminarium. Rozumie potrzebę precyzyjnego i logicznie poprawnego wyrażania myśli.</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K_W02, K_W04, K_W07</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W_04</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zna zasady przywoływania myśli innych autorów.</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K_W09</w:t>
            </w:r>
          </w:p>
        </w:tc>
      </w:tr>
      <w:tr w:rsidR="006B2EF6" w:rsidRPr="006B2EF6" w:rsidTr="006B2EF6">
        <w:tblPrEx>
          <w:tblBorders>
            <w:top w:val="none" w:sz="0" w:space="0" w:color="auto"/>
          </w:tblBorders>
          <w:tblCellMar>
            <w:top w:w="0" w:type="dxa"/>
            <w:bottom w:w="0" w:type="dxa"/>
          </w:tblCellMar>
        </w:tblPrEx>
        <w:tc>
          <w:tcPr>
            <w:tcW w:w="9747"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UMIEJĘTNOŚCI</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U_01</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potrafi z pomocą promotora sformułować problem badawczy, wybrać metodę i wyszukać odpowiedni materiał empiryczny, a następnie zastosować wybraną metodę w samodzielnej analizie.</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K_U02, K_U09</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lastRenderedPageBreak/>
              <w:t>U_02</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Student  umie posługiwać się literaturoznawczą terminologią w języku angielskim.  Umie także precyzyjnie i logicznie posługiwać się językiem akademickim, przedstawiając swoje analizy i interpretacje współczesnej literatury i, szerzej, wyniki swoich badań. </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K_U04, K_U05</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U_03</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potrafi czytać krytycznie teksty krytycznoliterackie. Umie ocenić ich wartość naukową i uzasadnić tę ocenę.</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K_U07</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U_04</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potrafi udzielić wskazówek dotyczących pracy magisterskiej innym uczestnikom seminarium  </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K_U09</w:t>
            </w:r>
          </w:p>
        </w:tc>
      </w:tr>
      <w:tr w:rsidR="006B2EF6" w:rsidRPr="006B2EF6" w:rsidTr="006B2EF6">
        <w:tblPrEx>
          <w:tblBorders>
            <w:top w:val="none" w:sz="0" w:space="0" w:color="auto"/>
          </w:tblBorders>
          <w:tblCellMar>
            <w:top w:w="0" w:type="dxa"/>
            <w:bottom w:w="0" w:type="dxa"/>
          </w:tblCellMar>
        </w:tblPrEx>
        <w:tc>
          <w:tcPr>
            <w:tcW w:w="9747"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KOMPETENCJE SPOŁECZNE</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K_01</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potrafi dopasować temat pracy do stanu swojej wiedzy i umiejętności oraz ma świadomość potrzeby ich rozwoju.</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K_K01</w:t>
            </w:r>
          </w:p>
        </w:tc>
      </w:tr>
      <w:tr w:rsidR="006B2EF6" w:rsidRPr="006B2EF6" w:rsidTr="006B2EF6">
        <w:tblPrEx>
          <w:tblBorders>
            <w:top w:val="none" w:sz="0" w:space="0" w:color="auto"/>
          </w:tblBorders>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K_02</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ma świadomość wartości istniejących opracowań teoretycznych i krytycznych dotyczących problematyki podejmowanej w rozprawie.</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K_K02</w:t>
            </w:r>
          </w:p>
        </w:tc>
      </w:tr>
      <w:tr w:rsidR="006B2EF6" w:rsidRPr="006B2EF6" w:rsidTr="006B2EF6">
        <w:tblPrEx>
          <w:tblCellMar>
            <w:top w:w="0" w:type="dxa"/>
            <w:bottom w:w="0" w:type="dxa"/>
          </w:tblCellMar>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K_03</w:t>
            </w:r>
          </w:p>
        </w:tc>
        <w:tc>
          <w:tcPr>
            <w:tcW w:w="53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Student ma świadomość konieczności poszanowania zasad i norm etycznych wynikających ze specyfiki badań naukowych oraz rozumie ich przystawalność do przyszłych działań w kontekście zawodowym.</w:t>
            </w:r>
          </w:p>
        </w:tc>
        <w:tc>
          <w:tcPr>
            <w:tcW w:w="35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6000B"/>
              </w:rPr>
            </w:pPr>
            <w:r w:rsidRPr="006B2EF6">
              <w:rPr>
                <w:rFonts w:ascii="Times New Roman" w:hAnsi="Times New Roman" w:cs="Times New Roman"/>
                <w:color w:val="000000"/>
              </w:rPr>
              <w:t>K_K06</w:t>
            </w:r>
          </w:p>
        </w:tc>
      </w:tr>
    </w:tbl>
    <w:p w:rsidR="006B2EF6" w:rsidRPr="006B2EF6" w:rsidRDefault="006B2EF6" w:rsidP="006B2EF6">
      <w:pPr>
        <w:autoSpaceDE w:val="0"/>
        <w:autoSpaceDN w:val="0"/>
        <w:adjustRightInd w:val="0"/>
        <w:spacing w:after="200" w:line="276" w:lineRule="auto"/>
        <w:ind w:left="1080"/>
        <w:rPr>
          <w:rFonts w:ascii="Times New Roman" w:hAnsi="Times New Roman" w:cs="Times New Roman"/>
          <w:b/>
          <w:bCs/>
          <w:color w:val="000000"/>
        </w:rPr>
      </w:pPr>
    </w:p>
    <w:p w:rsidR="006B2EF6" w:rsidRPr="006B2EF6" w:rsidRDefault="006B2EF6" w:rsidP="006B2EF6">
      <w:pPr>
        <w:numPr>
          <w:ilvl w:val="0"/>
          <w:numId w:val="4"/>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Opis przedmiotu/ treści programowe</w:t>
      </w:r>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6B2EF6" w:rsidRPr="006B2EF6" w:rsidTr="006B2EF6">
        <w:tblPrEx>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Default="006B2EF6">
            <w:pPr>
              <w:autoSpaceDE w:val="0"/>
              <w:autoSpaceDN w:val="0"/>
              <w:adjustRightInd w:val="0"/>
              <w:rPr>
                <w:rFonts w:ascii="MS Mincho" w:eastAsia="MS Mincho" w:hAnsi="MS Mincho" w:cs="MS Mincho"/>
                <w:color w:val="000000"/>
              </w:rPr>
            </w:pPr>
            <w:r w:rsidRPr="006B2EF6">
              <w:rPr>
                <w:rFonts w:ascii="Times New Roman" w:hAnsi="Times New Roman" w:cs="Times New Roman"/>
                <w:b/>
                <w:bCs/>
                <w:color w:val="000000"/>
              </w:rPr>
              <w:t>Semestr I</w:t>
            </w:r>
            <w:r w:rsidRPr="006B2EF6">
              <w:rPr>
                <w:rFonts w:ascii="MS Mincho" w:eastAsia="MS Mincho" w:hAnsi="MS Mincho" w:cs="MS Mincho" w:hint="eastAsia"/>
                <w:b/>
                <w:bCs/>
                <w:color w:val="000000"/>
              </w:rPr>
              <w:t> </w:t>
            </w:r>
            <w:r w:rsidRPr="006B2EF6">
              <w:rPr>
                <w:rFonts w:ascii="Times New Roman" w:hAnsi="Times New Roman" w:cs="Times New Roman"/>
                <w:color w:val="000000"/>
              </w:rPr>
              <w:t>Wprowadzenie do kursu. Zapoznanie ze specyfiką pracy magisterskiej z dziedziny literaturoznawstwa.</w:t>
            </w:r>
            <w:r w:rsidRPr="006B2EF6">
              <w:rPr>
                <w:rFonts w:ascii="MS Mincho" w:eastAsia="MS Mincho" w:hAnsi="MS Mincho" w:cs="MS Mincho" w:hint="eastAsia"/>
                <w:color w:val="000000"/>
              </w:rPr>
              <w:t> </w:t>
            </w:r>
            <w:r w:rsidRPr="006B2EF6">
              <w:rPr>
                <w:rFonts w:ascii="Times New Roman" w:hAnsi="Times New Roman" w:cs="Times New Roman"/>
                <w:color w:val="000000"/>
              </w:rPr>
              <w:t>Ćwiczenia z warsztatu pisania pracy naukowej: problem plagiatu, kryteria oceny pracy naukowej, znaczenie metody naukowej i opisu stanu badań, zasady zbierania materiałów, organizacja pracy, itp. Ćwiczenia z parafrazowania i streszczania. Przegląd metod badawczych związanych z tematem seminarium. Wybór tematu pracy dyplomowej.</w:t>
            </w:r>
            <w:r w:rsidRPr="006B2EF6">
              <w:rPr>
                <w:rFonts w:ascii="MS Mincho" w:eastAsia="MS Mincho" w:hAnsi="MS Mincho" w:cs="MS Mincho" w:hint="eastAsia"/>
                <w:color w:val="000000"/>
              </w:rPr>
              <w:t>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b/>
                <w:bCs/>
                <w:color w:val="000000"/>
              </w:rPr>
              <w:t>Semestr 2</w:t>
            </w:r>
            <w:r w:rsidRPr="006B2EF6">
              <w:rPr>
                <w:rFonts w:ascii="MS Mincho" w:eastAsia="MS Mincho" w:hAnsi="MS Mincho" w:cs="MS Mincho" w:hint="eastAsia"/>
                <w:color w:val="000000"/>
              </w:rPr>
              <w:t> </w:t>
            </w:r>
            <w:r w:rsidRPr="006B2EF6">
              <w:rPr>
                <w:rFonts w:ascii="Times New Roman" w:hAnsi="Times New Roman" w:cs="Times New Roman"/>
                <w:color w:val="000000"/>
              </w:rPr>
              <w:t>Seminaria w tym semestrze poświęcone są  analizie pierwszych (teoretycznych) rozdziałów prac pisanych przez uczestników seminarium oraz omawianiu teoretycznych zagadnień albo analiz/interpretacji utworów literackich związanych ze szczegółowymi tematami prac wybranymi przez uczestników seminarium.</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b/>
                <w:bCs/>
                <w:color w:val="000000"/>
              </w:rPr>
            </w:pPr>
            <w:r w:rsidRPr="006B2EF6">
              <w:rPr>
                <w:rFonts w:ascii="Times New Roman" w:hAnsi="Times New Roman" w:cs="Times New Roman"/>
                <w:b/>
                <w:bCs/>
                <w:color w:val="000000"/>
              </w:rPr>
              <w:t>Semestr 3</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Seminaria w tym semestrze poświęcone są  dyskusjom nad analizami/interpretacjami  tekstów i redakcją  drugich  rozdziałów prac pisanych przez uczestników seminarium oraz omawianiu wszelkich zagadnień związanych ze szczegółowymi tematami prac wybranymi przez uczestników seminarium.</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b/>
                <w:bCs/>
                <w:color w:val="000000"/>
              </w:rPr>
            </w:pPr>
            <w:r w:rsidRPr="006B2EF6">
              <w:rPr>
                <w:rFonts w:ascii="Times New Roman" w:hAnsi="Times New Roman" w:cs="Times New Roman"/>
                <w:b/>
                <w:bCs/>
                <w:color w:val="000000"/>
              </w:rPr>
              <w:t>Semestr 4</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Seminaria w tym semestrze poświęcone są  dyskusjom nad analizami/interpretacjami  tekstów i redakcją  trzecich rozdziałów prac pisanych przez uczestników seminarium oraz omawianiu wszelkich zagadnień związanych ze szczegółowymi tematami prac wybranymi przez uczestników </w:t>
            </w:r>
            <w:r w:rsidRPr="006B2EF6">
              <w:rPr>
                <w:rFonts w:ascii="Times New Roman" w:hAnsi="Times New Roman" w:cs="Times New Roman"/>
                <w:color w:val="000000"/>
              </w:rPr>
              <w:lastRenderedPageBreak/>
              <w:t>seminarium. Pod koniec tego semestru studenci piszą wstęp, zakończenie,  streszczenie pracy w języku polskim, robią korektę całego tekstu włącznie z bibliografią.</w:t>
            </w:r>
          </w:p>
        </w:tc>
      </w:tr>
    </w:tbl>
    <w:p w:rsidR="006B2EF6" w:rsidRPr="006B2EF6" w:rsidRDefault="006B2EF6" w:rsidP="006B2EF6">
      <w:pPr>
        <w:autoSpaceDE w:val="0"/>
        <w:autoSpaceDN w:val="0"/>
        <w:adjustRightInd w:val="0"/>
        <w:spacing w:after="200" w:line="276" w:lineRule="auto"/>
        <w:rPr>
          <w:rFonts w:ascii="Times New Roman" w:hAnsi="Times New Roman" w:cs="Times New Roman"/>
          <w:b/>
          <w:bCs/>
          <w:color w:val="000000"/>
        </w:rPr>
      </w:pPr>
    </w:p>
    <w:p w:rsidR="006B2EF6" w:rsidRPr="006B2EF6" w:rsidRDefault="006B2EF6" w:rsidP="006B2EF6">
      <w:pPr>
        <w:numPr>
          <w:ilvl w:val="0"/>
          <w:numId w:val="5"/>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Metody realizacji i weryfikacji efektów uczenia się</w:t>
      </w:r>
    </w:p>
    <w:tbl>
      <w:tblPr>
        <w:tblW w:w="9747" w:type="dxa"/>
        <w:tblInd w:w="-118" w:type="dxa"/>
        <w:tblBorders>
          <w:top w:val="nil"/>
          <w:left w:val="nil"/>
          <w:right w:val="nil"/>
        </w:tblBorders>
        <w:tblLayout w:type="fixed"/>
        <w:tblLook w:val="0000" w:firstRow="0" w:lastRow="0" w:firstColumn="0" w:lastColumn="0" w:noHBand="0" w:noVBand="0"/>
      </w:tblPr>
      <w:tblGrid>
        <w:gridCol w:w="900"/>
        <w:gridCol w:w="2460"/>
        <w:gridCol w:w="2620"/>
        <w:gridCol w:w="3767"/>
      </w:tblGrid>
      <w:tr w:rsidR="006B2EF6" w:rsidRPr="006B2EF6" w:rsidTr="006B2EF6">
        <w:tblPrEx>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Symbol efektu</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color w:val="000000"/>
              </w:rPr>
            </w:pPr>
            <w:r w:rsidRPr="006B2EF6">
              <w:rPr>
                <w:rFonts w:ascii="Times New Roman" w:hAnsi="Times New Roman" w:cs="Times New Roman"/>
                <w:color w:val="000000"/>
              </w:rPr>
              <w:t>Metody dydaktyczne</w:t>
            </w:r>
          </w:p>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i/>
                <w:iCs/>
                <w:color w:val="000000"/>
              </w:rPr>
              <w:t>(lista wyboru)</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color w:val="000000"/>
              </w:rPr>
            </w:pPr>
            <w:r w:rsidRPr="006B2EF6">
              <w:rPr>
                <w:rFonts w:ascii="Times New Roman" w:hAnsi="Times New Roman" w:cs="Times New Roman"/>
                <w:color w:val="000000"/>
              </w:rPr>
              <w:t>Metody weryfikacji</w:t>
            </w:r>
          </w:p>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i/>
                <w:iCs/>
                <w:color w:val="000000"/>
              </w:rPr>
              <w:t>(lista wyboru)</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color w:val="000000"/>
              </w:rPr>
            </w:pPr>
            <w:r w:rsidRPr="006B2EF6">
              <w:rPr>
                <w:rFonts w:ascii="Times New Roman" w:hAnsi="Times New Roman" w:cs="Times New Roman"/>
                <w:color w:val="000000"/>
              </w:rPr>
              <w:t>Sposoby dokumentacji</w:t>
            </w:r>
          </w:p>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i/>
                <w:iCs/>
                <w:color w:val="000000"/>
              </w:rPr>
              <w:t>(lista wyboru)</w:t>
            </w:r>
          </w:p>
        </w:tc>
      </w:tr>
      <w:tr w:rsidR="006B2EF6" w:rsidRPr="006B2EF6" w:rsidTr="006B2EF6">
        <w:tblPrEx>
          <w:tblBorders>
            <w:top w:val="none" w:sz="0" w:space="0" w:color="auto"/>
          </w:tblBorders>
          <w:tblCellMar>
            <w:top w:w="0" w:type="dxa"/>
            <w:bottom w:w="0" w:type="dxa"/>
          </w:tblCellMar>
        </w:tblPrEx>
        <w:tc>
          <w:tcPr>
            <w:tcW w:w="9747"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WIEDZA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Dyskusja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z tekstem</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Mini-wykład</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badawcza pod kierunkiem</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 Praca pisemna</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Dyskusja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z tekstem</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Mini-wykład</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badawcza pod kierunkiem</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 Praca pisemna</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W_03</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Dyskusja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Mini-wykład</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badawcza pod kierunkiem</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 Praca pisemna </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W_04</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badawcza pod kierunkiem</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Mini-wykład</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Dyskusja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color w:val="000000"/>
              </w:rPr>
            </w:pP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 Praca pisemna</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747"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lastRenderedPageBreak/>
              <w:t>UMIEJĘTNOŚCI</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Analiza tekstu</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Dyskusja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pisemna</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 xml:space="preserve"> </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Analiza tekstu</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Dyskusja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Odpowiedź ustna i informacja zwrotna od prowadzącego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pisemna</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U_03</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z tekstem</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Dyskusja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Praca pisemna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Odpowiedź ustna i informacja zwrotna od  prowadzącego</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Monitorowanie i informacja zwrotna od  prowadzącego </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Informacja zwrotna (feedback)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Dokumentacja z kolejnych etapów pracy nad pracą magisterską przedstawiana przez studentów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U_04</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Dyskusja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Odpowiedź ustna i informacja zwrotna od  prowadzącego</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Notatki w arkuszu ocen prowadzącego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Informacja zwrotna (feedback) </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r>
      <w:tr w:rsidR="006B2EF6" w:rsidRPr="006B2EF6" w:rsidTr="006B2EF6">
        <w:tblPrEx>
          <w:tblBorders>
            <w:top w:val="none" w:sz="0" w:space="0" w:color="auto"/>
          </w:tblBorders>
          <w:tblCellMar>
            <w:top w:w="0" w:type="dxa"/>
            <w:bottom w:w="0" w:type="dxa"/>
          </w:tblCellMar>
        </w:tblPrEx>
        <w:tc>
          <w:tcPr>
            <w:tcW w:w="9747"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B2EF6" w:rsidRPr="006B2EF6" w:rsidRDefault="006B2EF6">
            <w:pPr>
              <w:autoSpaceDE w:val="0"/>
              <w:autoSpaceDN w:val="0"/>
              <w:adjustRightInd w:val="0"/>
              <w:jc w:val="center"/>
              <w:rPr>
                <w:rFonts w:ascii="Times New Roman" w:hAnsi="Times New Roman" w:cs="Times New Roman"/>
                <w:kern w:val="1"/>
              </w:rPr>
            </w:pPr>
            <w:r w:rsidRPr="006B2EF6">
              <w:rPr>
                <w:rFonts w:ascii="Times New Roman" w:hAnsi="Times New Roman" w:cs="Times New Roman"/>
                <w:color w:val="000000"/>
              </w:rPr>
              <w:t>KOMPETENCJE SPOŁECZNE</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K_01</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Dyskusja </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Obserwacja pracy studenta</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Odpowiedź ustna i informacja zwrotna od prowadzącego</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Borders>
            <w:top w:val="none" w:sz="0" w:space="0" w:color="auto"/>
          </w:tblBorders>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K_02</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Dyskusja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Obserwacja pracy studenta</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Odpowiedź ustna i informacja zwrotna od prowadzącego</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Informacja zwrotna (feedback)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Praca magisterska</w:t>
            </w:r>
          </w:p>
        </w:tc>
      </w:tr>
      <w:tr w:rsidR="006B2EF6" w:rsidRPr="006B2EF6" w:rsidTr="006B2EF6">
        <w:tblPrEx>
          <w:tblCellMar>
            <w:top w:w="0" w:type="dxa"/>
            <w:bottom w:w="0" w:type="dxa"/>
          </w:tblCellMar>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K_03</w:t>
            </w:r>
          </w:p>
        </w:tc>
        <w:tc>
          <w:tcPr>
            <w:tcW w:w="2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Dyskusja</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Praca badawcza pod kierunkiem (praca </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seminaryjna)</w:t>
            </w:r>
          </w:p>
        </w:tc>
        <w:tc>
          <w:tcPr>
            <w:tcW w:w="2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Obserwacja pracy studenta</w:t>
            </w:r>
          </w:p>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Odpowiedź ustna i informacja zwrotna od prowadzącego</w:t>
            </w:r>
          </w:p>
        </w:tc>
        <w:tc>
          <w:tcPr>
            <w:tcW w:w="37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Informacja zwrotna (feedback)</w:t>
            </w:r>
          </w:p>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 Praca magisterska</w:t>
            </w:r>
          </w:p>
        </w:tc>
      </w:tr>
    </w:tbl>
    <w:p w:rsidR="006B2EF6" w:rsidRPr="006B2EF6" w:rsidRDefault="006B2EF6" w:rsidP="006B2EF6">
      <w:pPr>
        <w:autoSpaceDE w:val="0"/>
        <w:autoSpaceDN w:val="0"/>
        <w:adjustRightInd w:val="0"/>
        <w:spacing w:after="200" w:line="276" w:lineRule="auto"/>
        <w:rPr>
          <w:rFonts w:ascii="Times New Roman" w:hAnsi="Times New Roman" w:cs="Times New Roman"/>
          <w:b/>
          <w:bCs/>
          <w:color w:val="000000"/>
        </w:rPr>
      </w:pPr>
      <w:bookmarkStart w:id="0" w:name="_GoBack"/>
      <w:bookmarkEnd w:id="0"/>
    </w:p>
    <w:p w:rsidR="006B2EF6" w:rsidRPr="006B2EF6" w:rsidRDefault="006B2EF6" w:rsidP="006B2EF6">
      <w:pPr>
        <w:numPr>
          <w:ilvl w:val="0"/>
          <w:numId w:val="6"/>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Kryteria oceny, wagi…</w:t>
      </w:r>
    </w:p>
    <w:p w:rsidR="006B2EF6" w:rsidRPr="006B2EF6" w:rsidRDefault="006B2EF6" w:rsidP="006B2EF6">
      <w:pPr>
        <w:autoSpaceDE w:val="0"/>
        <w:autoSpaceDN w:val="0"/>
        <w:adjustRightInd w:val="0"/>
        <w:jc w:val="both"/>
        <w:rPr>
          <w:rFonts w:ascii="Times New Roman" w:hAnsi="Times New Roman" w:cs="Times New Roman"/>
          <w:color w:val="000000"/>
        </w:rPr>
      </w:pPr>
      <w:r w:rsidRPr="006B2EF6">
        <w:rPr>
          <w:rFonts w:ascii="Times New Roman" w:hAnsi="Times New Roman" w:cs="Times New Roman"/>
          <w:color w:val="000000"/>
        </w:rPr>
        <w:t xml:space="preserve">Podstawowe kryteria oceny to aktywne uczestnictwo w seminarium, co oznacza realizację zadań wyznaczonych przez promotora, które mają za zadanie przygotować seminarzystów do pisania pracy magisterskiej, oraz praca nad własnym projektem badawczym. Ostatecznym warunkiem zaliczenia seminarium jest oddanie pracy magisterskiej na koniec  IV semestru. </w:t>
      </w:r>
    </w:p>
    <w:p w:rsidR="006B2EF6" w:rsidRPr="006B2EF6" w:rsidRDefault="006B2EF6" w:rsidP="006B2EF6">
      <w:pPr>
        <w:autoSpaceDE w:val="0"/>
        <w:autoSpaceDN w:val="0"/>
        <w:adjustRightInd w:val="0"/>
        <w:jc w:val="both"/>
        <w:rPr>
          <w:rFonts w:ascii="Times New Roman" w:hAnsi="Times New Roman" w:cs="Times New Roman"/>
          <w:color w:val="000000"/>
        </w:rPr>
      </w:pPr>
    </w:p>
    <w:p w:rsidR="006B2EF6" w:rsidRPr="006B2EF6" w:rsidRDefault="006B2EF6" w:rsidP="006B2EF6">
      <w:pPr>
        <w:numPr>
          <w:ilvl w:val="0"/>
          <w:numId w:val="7"/>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rPr>
        <w:t>Obciążenie pracą studenta</w:t>
      </w:r>
    </w:p>
    <w:tbl>
      <w:tblPr>
        <w:tblW w:w="9747" w:type="dxa"/>
        <w:tblInd w:w="-118" w:type="dxa"/>
        <w:tblBorders>
          <w:top w:val="nil"/>
          <w:left w:val="nil"/>
          <w:right w:val="nil"/>
        </w:tblBorders>
        <w:tblLayout w:type="fixed"/>
        <w:tblLook w:val="0000" w:firstRow="0" w:lastRow="0" w:firstColumn="0" w:lastColumn="0" w:noHBand="0" w:noVBand="0"/>
      </w:tblPr>
      <w:tblGrid>
        <w:gridCol w:w="4180"/>
        <w:gridCol w:w="5567"/>
      </w:tblGrid>
      <w:tr w:rsidR="006B2EF6" w:rsidRPr="006B2EF6" w:rsidTr="006B2EF6">
        <w:tblPrEx>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rPr>
                <w:rFonts w:ascii="Times New Roman" w:hAnsi="Times New Roman" w:cs="Times New Roman"/>
                <w:kern w:val="1"/>
              </w:rPr>
            </w:pPr>
            <w:r w:rsidRPr="006B2EF6">
              <w:rPr>
                <w:rFonts w:ascii="Times New Roman" w:hAnsi="Times New Roman" w:cs="Times New Roman"/>
                <w:color w:val="000000"/>
              </w:rPr>
              <w:t>Forma aktywności studenta</w:t>
            </w:r>
          </w:p>
        </w:tc>
        <w:tc>
          <w:tcPr>
            <w:tcW w:w="55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Liczba godzin</w:t>
            </w:r>
          </w:p>
        </w:tc>
      </w:tr>
      <w:tr w:rsidR="006B2EF6" w:rsidRPr="006B2EF6" w:rsidTr="006B2EF6">
        <w:tblPrEx>
          <w:tblBorders>
            <w:top w:val="none" w:sz="0" w:space="0" w:color="auto"/>
          </w:tblBorders>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 xml:space="preserve">Liczba godzin kontaktowych z nauczycielem </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55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6B2EF6">
              <w:rPr>
                <w:rFonts w:ascii="Times New Roman" w:hAnsi="Times New Roman" w:cs="Times New Roman"/>
                <w:color w:val="000000"/>
              </w:rPr>
              <w:t>64</w:t>
            </w:r>
          </w:p>
        </w:tc>
      </w:tr>
      <w:tr w:rsidR="006B2EF6" w:rsidRPr="006B2EF6" w:rsidTr="006B2EF6">
        <w:tblPrEx>
          <w:tblCellMar>
            <w:top w:w="0" w:type="dxa"/>
            <w:bottom w:w="0" w:type="dxa"/>
          </w:tblCellMar>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Liczba godzin indywidualnej pracy studenta</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55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B2EF6">
              <w:rPr>
                <w:rFonts w:ascii="Times New Roman" w:hAnsi="Times New Roman" w:cs="Times New Roman"/>
                <w:color w:val="000000"/>
              </w:rPr>
              <w:t>550 (+ 56 e-learning)</w:t>
            </w:r>
          </w:p>
        </w:tc>
      </w:tr>
    </w:tbl>
    <w:p w:rsidR="006B2EF6" w:rsidRPr="006B2EF6" w:rsidRDefault="006B2EF6" w:rsidP="006B2EF6">
      <w:pPr>
        <w:autoSpaceDE w:val="0"/>
        <w:autoSpaceDN w:val="0"/>
        <w:adjustRightInd w:val="0"/>
        <w:spacing w:line="276" w:lineRule="auto"/>
        <w:rPr>
          <w:rFonts w:ascii="Times New Roman" w:hAnsi="Times New Roman" w:cs="Times New Roman"/>
          <w:b/>
          <w:bCs/>
          <w:color w:val="000000"/>
        </w:rPr>
      </w:pPr>
    </w:p>
    <w:p w:rsidR="006B2EF6" w:rsidRPr="006B2EF6" w:rsidRDefault="006B2EF6" w:rsidP="006B2EF6">
      <w:pPr>
        <w:numPr>
          <w:ilvl w:val="0"/>
          <w:numId w:val="8"/>
        </w:numPr>
        <w:tabs>
          <w:tab w:val="left" w:pos="20"/>
          <w:tab w:val="left" w:pos="360"/>
          <w:tab w:val="left" w:pos="1080"/>
        </w:tabs>
        <w:autoSpaceDE w:val="0"/>
        <w:autoSpaceDN w:val="0"/>
        <w:adjustRightInd w:val="0"/>
        <w:spacing w:after="200" w:line="276" w:lineRule="auto"/>
        <w:ind w:left="1080" w:hanging="1080"/>
        <w:rPr>
          <w:rFonts w:ascii="Times New Roman" w:hAnsi="Times New Roman" w:cs="Times New Roman"/>
          <w:b/>
          <w:bCs/>
          <w:color w:val="000000"/>
        </w:rPr>
      </w:pPr>
      <w:r w:rsidRPr="006B2EF6">
        <w:rPr>
          <w:rFonts w:ascii="Times New Roman" w:hAnsi="Times New Roman" w:cs="Times New Roman"/>
          <w:b/>
          <w:bCs/>
          <w:color w:val="000000"/>
          <w:kern w:val="1"/>
        </w:rPr>
        <w:tab/>
      </w:r>
      <w:proofErr w:type="spellStart"/>
      <w:r w:rsidRPr="006B2EF6">
        <w:rPr>
          <w:rFonts w:ascii="Times New Roman" w:hAnsi="Times New Roman" w:cs="Times New Roman"/>
          <w:b/>
          <w:bCs/>
          <w:color w:val="000000"/>
          <w:kern w:val="1"/>
        </w:rPr>
        <w:t>VIII.</w:t>
      </w:r>
      <w:r w:rsidRPr="006B2EF6">
        <w:rPr>
          <w:rFonts w:ascii="Times New Roman" w:hAnsi="Times New Roman" w:cs="Times New Roman"/>
          <w:b/>
          <w:bCs/>
          <w:color w:val="000000"/>
        </w:rPr>
        <w:t>Literatura</w:t>
      </w:r>
      <w:proofErr w:type="spellEnd"/>
    </w:p>
    <w:tbl>
      <w:tblPr>
        <w:tblW w:w="9747" w:type="dxa"/>
        <w:tblInd w:w="-118" w:type="dxa"/>
        <w:tblBorders>
          <w:top w:val="nil"/>
          <w:left w:val="nil"/>
          <w:right w:val="nil"/>
        </w:tblBorders>
        <w:tblLayout w:type="fixed"/>
        <w:tblLook w:val="0000" w:firstRow="0" w:lastRow="0" w:firstColumn="0" w:lastColumn="0" w:noHBand="0" w:noVBand="0"/>
      </w:tblPr>
      <w:tblGrid>
        <w:gridCol w:w="9747"/>
      </w:tblGrid>
      <w:tr w:rsidR="006B2EF6" w:rsidRPr="006B2EF6" w:rsidTr="006B2EF6">
        <w:tblPrEx>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spacing w:after="200" w:line="276" w:lineRule="auto"/>
              <w:rPr>
                <w:rFonts w:ascii="Times New Roman" w:hAnsi="Times New Roman" w:cs="Times New Roman"/>
                <w:kern w:val="1"/>
              </w:rPr>
            </w:pPr>
            <w:r w:rsidRPr="006B2EF6">
              <w:rPr>
                <w:rFonts w:ascii="Times New Roman" w:hAnsi="Times New Roman" w:cs="Times New Roman"/>
                <w:color w:val="000000"/>
              </w:rPr>
              <w:t>Literatura podstawowa</w:t>
            </w:r>
          </w:p>
        </w:tc>
      </w:tr>
      <w:tr w:rsidR="006B2EF6" w:rsidRPr="006B2EF6" w:rsidTr="006B2EF6">
        <w:tblPrEx>
          <w:tblBorders>
            <w:top w:val="none" w:sz="0" w:space="0" w:color="auto"/>
          </w:tblBorders>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ind w:left="708" w:hanging="708"/>
              <w:jc w:val="both"/>
              <w:rPr>
                <w:rFonts w:ascii="Times New Roman" w:hAnsi="Times New Roman" w:cs="Times New Roman"/>
                <w:color w:val="1A1718"/>
              </w:rPr>
            </w:pPr>
            <w:r w:rsidRPr="006B2EF6">
              <w:rPr>
                <w:rFonts w:ascii="Times New Roman" w:hAnsi="Times New Roman" w:cs="Times New Roman"/>
                <w:color w:val="1A1718"/>
              </w:rPr>
              <w:t>Podana poniżej lista literatury, oprócz podręczników pisania akademickiego, ma przykładowy charakter; dobór tekstów zależy od problematyki seminarium w danym roku i tematów prac magisterskich</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jc w:val="both"/>
              <w:rPr>
                <w:rFonts w:ascii="Times New Roman" w:hAnsi="Times New Roman" w:cs="Times New Roman"/>
                <w:color w:val="000000"/>
                <w:lang w:val="en-US"/>
              </w:rPr>
            </w:pPr>
            <w:r w:rsidRPr="006B2EF6">
              <w:rPr>
                <w:rFonts w:ascii="Times New Roman" w:hAnsi="Times New Roman" w:cs="Times New Roman"/>
                <w:color w:val="1A1718"/>
                <w:lang w:val="en-US"/>
              </w:rPr>
              <w:t>Barry, Peter. Beginning Theory: An Introduction to Literary and Cultural Theory. Manchester: Manchester University Press, 1995.</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Bradford, Richard. The Novel Now: Contemporary British Fiction. Malden: Blackwell Publishing, 2007.</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Connor, Steven. The English Novel in History:1950-1995. London: Routledge, 2001.</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Currie, Mark. Postmodern Narrative Theory. London: Macmillan, 1998.</w:t>
            </w:r>
          </w:p>
          <w:p w:rsidR="006B2EF6" w:rsidRPr="006B2EF6" w:rsidRDefault="006B2EF6">
            <w:pPr>
              <w:autoSpaceDE w:val="0"/>
              <w:autoSpaceDN w:val="0"/>
              <w:adjustRightInd w:val="0"/>
              <w:ind w:left="709"/>
              <w:jc w:val="both"/>
              <w:rPr>
                <w:rFonts w:ascii="Times New Roman" w:hAnsi="Times New Roman" w:cs="Times New Roman"/>
                <w:color w:val="000000"/>
                <w:lang w:val="en-US"/>
              </w:rPr>
            </w:pPr>
            <w:proofErr w:type="spellStart"/>
            <w:r w:rsidRPr="006B2EF6">
              <w:rPr>
                <w:rFonts w:ascii="Times New Roman" w:hAnsi="Times New Roman" w:cs="Times New Roman"/>
                <w:color w:val="000000"/>
                <w:lang w:val="en-US"/>
              </w:rPr>
              <w:t>Gibaldi</w:t>
            </w:r>
            <w:proofErr w:type="spellEnd"/>
            <w:r w:rsidRPr="006B2EF6">
              <w:rPr>
                <w:rFonts w:ascii="Times New Roman" w:hAnsi="Times New Roman" w:cs="Times New Roman"/>
                <w:color w:val="000000"/>
                <w:lang w:val="en-US"/>
              </w:rPr>
              <w:t>, J. MLA Handbook for Writers of Research Papers. New York, 2009.</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Goring, Paul et al. Studying Literature: The Essential Companion. London: Arnold, 2001.</w:t>
            </w:r>
          </w:p>
          <w:p w:rsidR="006B2EF6" w:rsidRPr="006B2EF6" w:rsidRDefault="006B2EF6">
            <w:pPr>
              <w:autoSpaceDE w:val="0"/>
              <w:autoSpaceDN w:val="0"/>
              <w:adjustRightInd w:val="0"/>
              <w:jc w:val="both"/>
              <w:rPr>
                <w:rFonts w:ascii="Times New Roman" w:hAnsi="Times New Roman" w:cs="Times New Roman"/>
                <w:color w:val="000000"/>
                <w:lang w:val="en-US"/>
              </w:rPr>
            </w:pPr>
            <w:r w:rsidRPr="006B2EF6">
              <w:rPr>
                <w:rFonts w:ascii="Times New Roman" w:hAnsi="Times New Roman" w:cs="Times New Roman"/>
                <w:color w:val="000000"/>
                <w:lang w:val="en-US"/>
              </w:rPr>
              <w:t>Hawthorn, Jeremy. Studying the Novel. Bloomsbury. 2010 .</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proofErr w:type="spellStart"/>
            <w:r w:rsidRPr="006B2EF6">
              <w:rPr>
                <w:rFonts w:ascii="Times New Roman" w:hAnsi="Times New Roman" w:cs="Times New Roman"/>
                <w:color w:val="1A1718"/>
                <w:lang w:val="en-US"/>
              </w:rPr>
              <w:t>Hayles</w:t>
            </w:r>
            <w:proofErr w:type="spellEnd"/>
            <w:r w:rsidRPr="006B2EF6">
              <w:rPr>
                <w:rFonts w:ascii="Times New Roman" w:hAnsi="Times New Roman" w:cs="Times New Roman"/>
                <w:color w:val="1A1718"/>
                <w:lang w:val="en-US"/>
              </w:rPr>
              <w:t>, N. Katherine. Electronic Literature: New Horizons for the Literary. Notre Dame: University of Notre Dame Press, 2008.</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 xml:space="preserve">Herman, David, Manfred </w:t>
            </w:r>
            <w:proofErr w:type="spellStart"/>
            <w:r w:rsidRPr="006B2EF6">
              <w:rPr>
                <w:rFonts w:ascii="Times New Roman" w:hAnsi="Times New Roman" w:cs="Times New Roman"/>
                <w:color w:val="1A1718"/>
                <w:lang w:val="en-US"/>
              </w:rPr>
              <w:t>Jahn</w:t>
            </w:r>
            <w:proofErr w:type="spellEnd"/>
            <w:r w:rsidRPr="006B2EF6">
              <w:rPr>
                <w:rFonts w:ascii="Times New Roman" w:hAnsi="Times New Roman" w:cs="Times New Roman"/>
                <w:color w:val="1A1718"/>
                <w:lang w:val="en-US"/>
              </w:rPr>
              <w:t>, and Marie-Laure Ryan, eds. Routledge Encyclopedia of Narrative Theory. London: Routledge, 2005.</w:t>
            </w:r>
          </w:p>
          <w:p w:rsidR="006B2EF6" w:rsidRPr="006B2EF6" w:rsidRDefault="006B2EF6">
            <w:pPr>
              <w:autoSpaceDE w:val="0"/>
              <w:autoSpaceDN w:val="0"/>
              <w:adjustRightInd w:val="0"/>
              <w:ind w:left="709" w:hanging="708"/>
              <w:jc w:val="both"/>
              <w:rPr>
                <w:rFonts w:ascii="Times New Roman" w:hAnsi="Times New Roman" w:cs="Times New Roman"/>
                <w:color w:val="000000"/>
                <w:lang w:val="en-US"/>
              </w:rPr>
            </w:pPr>
            <w:proofErr w:type="spellStart"/>
            <w:r w:rsidRPr="006B2EF6">
              <w:rPr>
                <w:rFonts w:ascii="Times New Roman" w:hAnsi="Times New Roman" w:cs="Times New Roman"/>
                <w:color w:val="000000"/>
                <w:lang w:val="en-US"/>
              </w:rPr>
              <w:t>Hühn</w:t>
            </w:r>
            <w:proofErr w:type="spellEnd"/>
            <w:r w:rsidRPr="006B2EF6">
              <w:rPr>
                <w:rFonts w:ascii="Times New Roman" w:hAnsi="Times New Roman" w:cs="Times New Roman"/>
                <w:color w:val="000000"/>
                <w:lang w:val="en-US"/>
              </w:rPr>
              <w:t xml:space="preserve"> Peter, John Pier, Wolf Schmid, and </w:t>
            </w:r>
            <w:proofErr w:type="spellStart"/>
            <w:r w:rsidRPr="006B2EF6">
              <w:rPr>
                <w:rFonts w:ascii="Times New Roman" w:hAnsi="Times New Roman" w:cs="Times New Roman"/>
                <w:color w:val="000000"/>
                <w:lang w:val="en-US"/>
              </w:rPr>
              <w:t>Jörg</w:t>
            </w:r>
            <w:proofErr w:type="spellEnd"/>
            <w:r w:rsidRPr="006B2EF6">
              <w:rPr>
                <w:rFonts w:ascii="Times New Roman" w:hAnsi="Times New Roman" w:cs="Times New Roman"/>
                <w:color w:val="000000"/>
                <w:lang w:val="en-US"/>
              </w:rPr>
              <w:t xml:space="preserve"> </w:t>
            </w:r>
            <w:proofErr w:type="spellStart"/>
            <w:r w:rsidRPr="006B2EF6">
              <w:rPr>
                <w:rFonts w:ascii="Times New Roman" w:hAnsi="Times New Roman" w:cs="Times New Roman"/>
                <w:color w:val="000000"/>
                <w:lang w:val="en-US"/>
              </w:rPr>
              <w:t>Schönert</w:t>
            </w:r>
            <w:proofErr w:type="spellEnd"/>
            <w:r w:rsidRPr="006B2EF6">
              <w:rPr>
                <w:rFonts w:ascii="Times New Roman" w:hAnsi="Times New Roman" w:cs="Times New Roman"/>
                <w:color w:val="000000"/>
                <w:lang w:val="en-US"/>
              </w:rPr>
              <w:t xml:space="preserve">. Handbook of Narratology. Berlin: Walter de Gruyter, 2009. </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Hutcheon, Linda. A Theory of Adaptation. New York: Routledge, 2006.</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proofErr w:type="spellStart"/>
            <w:r w:rsidRPr="006B2EF6">
              <w:rPr>
                <w:rFonts w:ascii="Times New Roman" w:hAnsi="Times New Roman" w:cs="Times New Roman"/>
                <w:color w:val="1A1718"/>
                <w:lang w:val="en-US"/>
              </w:rPr>
              <w:t>Landow</w:t>
            </w:r>
            <w:proofErr w:type="spellEnd"/>
            <w:r w:rsidRPr="006B2EF6">
              <w:rPr>
                <w:rFonts w:ascii="Times New Roman" w:hAnsi="Times New Roman" w:cs="Times New Roman"/>
                <w:color w:val="1A1718"/>
                <w:lang w:val="en-US"/>
              </w:rPr>
              <w:t>, George P. Hypertext 2.0: The Convergence of Contemporary Critical Theory and Technology. Baltimore: The Johns Hopkins University Press, 1997.</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McFarlane, Brian. Novel to Film: An Introduction to the Theory of Adaptation. Oxford: Clarendon Press, 1996.</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lastRenderedPageBreak/>
              <w:t xml:space="preserve">Morrison, </w:t>
            </w:r>
            <w:proofErr w:type="spellStart"/>
            <w:r w:rsidRPr="006B2EF6">
              <w:rPr>
                <w:rFonts w:ascii="Times New Roman" w:hAnsi="Times New Roman" w:cs="Times New Roman"/>
                <w:color w:val="1A1718"/>
                <w:lang w:val="en-US"/>
              </w:rPr>
              <w:t>Jago</w:t>
            </w:r>
            <w:proofErr w:type="spellEnd"/>
            <w:r w:rsidRPr="006B2EF6">
              <w:rPr>
                <w:rFonts w:ascii="Times New Roman" w:hAnsi="Times New Roman" w:cs="Times New Roman"/>
                <w:color w:val="1A1718"/>
                <w:lang w:val="en-US"/>
              </w:rPr>
              <w:t>. Contemporary Fiction. London: Routledge, 2003.</w:t>
            </w:r>
          </w:p>
          <w:p w:rsidR="006B2EF6" w:rsidRPr="006B2EF6" w:rsidRDefault="006B2EF6">
            <w:pPr>
              <w:autoSpaceDE w:val="0"/>
              <w:autoSpaceDN w:val="0"/>
              <w:adjustRightInd w:val="0"/>
              <w:jc w:val="both"/>
              <w:rPr>
                <w:rFonts w:ascii="Times New Roman" w:hAnsi="Times New Roman" w:cs="Times New Roman"/>
                <w:color w:val="000000"/>
                <w:lang w:val="en-US"/>
              </w:rPr>
            </w:pPr>
            <w:r w:rsidRPr="006B2EF6">
              <w:rPr>
                <w:rFonts w:ascii="Times New Roman" w:hAnsi="Times New Roman" w:cs="Times New Roman"/>
                <w:color w:val="000000"/>
                <w:lang w:val="en-US"/>
              </w:rPr>
              <w:t>Mullan, John. How Novels Work. Oxford: Oxford University Press, 2006.  </w:t>
            </w:r>
          </w:p>
          <w:p w:rsidR="006B2EF6" w:rsidRPr="006B2EF6" w:rsidRDefault="006B2EF6">
            <w:pPr>
              <w:autoSpaceDE w:val="0"/>
              <w:autoSpaceDN w:val="0"/>
              <w:adjustRightInd w:val="0"/>
              <w:jc w:val="both"/>
              <w:rPr>
                <w:rFonts w:ascii="Times New Roman" w:hAnsi="Times New Roman" w:cs="Times New Roman"/>
                <w:color w:val="000000"/>
                <w:lang w:val="en-US"/>
              </w:rPr>
            </w:pPr>
            <w:proofErr w:type="spellStart"/>
            <w:r w:rsidRPr="006B2EF6">
              <w:rPr>
                <w:rFonts w:ascii="Times New Roman" w:hAnsi="Times New Roman" w:cs="Times New Roman"/>
                <w:color w:val="000000"/>
                <w:lang w:val="en-US"/>
              </w:rPr>
              <w:t>Rimmon</w:t>
            </w:r>
            <w:proofErr w:type="spellEnd"/>
            <w:r w:rsidRPr="006B2EF6">
              <w:rPr>
                <w:rFonts w:ascii="Times New Roman" w:hAnsi="Times New Roman" w:cs="Times New Roman"/>
                <w:color w:val="000000"/>
                <w:lang w:val="en-US"/>
              </w:rPr>
              <w:t xml:space="preserve">-Kenan, </w:t>
            </w:r>
            <w:proofErr w:type="spellStart"/>
            <w:r w:rsidRPr="006B2EF6">
              <w:rPr>
                <w:rFonts w:ascii="Times New Roman" w:hAnsi="Times New Roman" w:cs="Times New Roman"/>
                <w:color w:val="000000"/>
                <w:lang w:val="en-US"/>
              </w:rPr>
              <w:t>Shlomith</w:t>
            </w:r>
            <w:proofErr w:type="spellEnd"/>
            <w:r w:rsidRPr="006B2EF6">
              <w:rPr>
                <w:rFonts w:ascii="Times New Roman" w:hAnsi="Times New Roman" w:cs="Times New Roman"/>
                <w:color w:val="000000"/>
                <w:lang w:val="en-US"/>
              </w:rPr>
              <w:t>. Narrative Fiction: Contemporary Poetics. London: Routledge, 1999.</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Rivkin, Julie and Michael Ryan, eds. Literary Theory: An Anthology Oxford: Blackwell, 1998.</w:t>
            </w:r>
          </w:p>
          <w:p w:rsidR="006B2EF6" w:rsidRPr="006B2EF6" w:rsidRDefault="006B2EF6">
            <w:pPr>
              <w:autoSpaceDE w:val="0"/>
              <w:autoSpaceDN w:val="0"/>
              <w:adjustRightInd w:val="0"/>
              <w:ind w:left="709" w:hanging="708"/>
              <w:jc w:val="both"/>
              <w:rPr>
                <w:rFonts w:ascii="Times New Roman" w:hAnsi="Times New Roman" w:cs="Times New Roman"/>
                <w:color w:val="1A1718"/>
                <w:lang w:val="en-US"/>
              </w:rPr>
            </w:pPr>
            <w:r w:rsidRPr="006B2EF6">
              <w:rPr>
                <w:rFonts w:ascii="Times New Roman" w:hAnsi="Times New Roman" w:cs="Times New Roman"/>
                <w:color w:val="1A1718"/>
                <w:lang w:val="en-US"/>
              </w:rPr>
              <w:t>Ryan, Marie-Laure. Avatars of Story. Minneapolis: University of Minnesota Press, 2006.</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kern w:val="1"/>
              </w:rPr>
            </w:pPr>
            <w:proofErr w:type="spellStart"/>
            <w:r w:rsidRPr="006B2EF6">
              <w:rPr>
                <w:rFonts w:ascii="Times New Roman" w:hAnsi="Times New Roman" w:cs="Times New Roman"/>
                <w:color w:val="1A1718"/>
                <w:lang w:val="en-US"/>
              </w:rPr>
              <w:t>Tew</w:t>
            </w:r>
            <w:proofErr w:type="spellEnd"/>
            <w:r w:rsidRPr="006B2EF6">
              <w:rPr>
                <w:rFonts w:ascii="Times New Roman" w:hAnsi="Times New Roman" w:cs="Times New Roman"/>
                <w:color w:val="1A1718"/>
                <w:lang w:val="en-US"/>
              </w:rPr>
              <w:t xml:space="preserve">, Philip. The Contemporary British Novel. </w:t>
            </w:r>
            <w:r w:rsidRPr="006B2EF6">
              <w:rPr>
                <w:rFonts w:ascii="Times New Roman" w:hAnsi="Times New Roman" w:cs="Times New Roman"/>
                <w:color w:val="1A1718"/>
              </w:rPr>
              <w:t>London: Continuum, 2004.</w:t>
            </w:r>
          </w:p>
        </w:tc>
      </w:tr>
      <w:tr w:rsidR="006B2EF6" w:rsidRPr="006B2EF6" w:rsidTr="006B2EF6">
        <w:tblPrEx>
          <w:tblBorders>
            <w:top w:val="none" w:sz="0" w:space="0" w:color="auto"/>
          </w:tblBorders>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rPr>
                <w:rFonts w:ascii="Times New Roman" w:hAnsi="Times New Roman" w:cs="Times New Roman"/>
                <w:kern w:val="1"/>
              </w:rPr>
            </w:pPr>
            <w:r w:rsidRPr="006B2EF6">
              <w:rPr>
                <w:rFonts w:ascii="Times New Roman" w:hAnsi="Times New Roman" w:cs="Times New Roman"/>
                <w:color w:val="000000"/>
              </w:rPr>
              <w:lastRenderedPageBreak/>
              <w:t>Literatura uzupełniająca</w:t>
            </w:r>
          </w:p>
        </w:tc>
      </w:tr>
      <w:tr w:rsidR="006B2EF6" w:rsidRPr="006B2EF6" w:rsidTr="006B2EF6">
        <w:tblPrEx>
          <w:tblCellMar>
            <w:top w:w="0" w:type="dxa"/>
            <w:bottom w:w="0" w:type="dxa"/>
          </w:tblCellMar>
        </w:tblPrEx>
        <w:tc>
          <w:tcPr>
            <w:tcW w:w="97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B2EF6" w:rsidRPr="006B2EF6" w:rsidRDefault="006B2EF6">
            <w:pPr>
              <w:autoSpaceDE w:val="0"/>
              <w:autoSpaceDN w:val="0"/>
              <w:adjustRightInd w:val="0"/>
              <w:jc w:val="both"/>
              <w:rPr>
                <w:rFonts w:ascii="Times New Roman" w:hAnsi="Times New Roman" w:cs="Times New Roman"/>
                <w:color w:val="000000"/>
                <w:lang w:val="en-US"/>
              </w:rPr>
            </w:pPr>
            <w:r w:rsidRPr="006B2EF6">
              <w:rPr>
                <w:rFonts w:ascii="Times New Roman" w:hAnsi="Times New Roman" w:cs="Times New Roman"/>
                <w:color w:val="000000"/>
                <w:lang w:val="en-US"/>
              </w:rPr>
              <w:t>Bailey,  Stephen, Academic Writing: A Practical Guide for Students. London, 2004.</w:t>
            </w:r>
          </w:p>
          <w:p w:rsidR="006B2EF6" w:rsidRPr="006B2EF6" w:rsidRDefault="006B2EF6">
            <w:pPr>
              <w:autoSpaceDE w:val="0"/>
              <w:autoSpaceDN w:val="0"/>
              <w:adjustRightInd w:val="0"/>
              <w:jc w:val="both"/>
              <w:rPr>
                <w:rFonts w:ascii="Times New Roman" w:hAnsi="Times New Roman" w:cs="Times New Roman"/>
                <w:color w:val="000000"/>
                <w:lang w:val="en-US"/>
              </w:rPr>
            </w:pPr>
            <w:r w:rsidRPr="006B2EF6">
              <w:rPr>
                <w:rFonts w:ascii="Times New Roman" w:hAnsi="Times New Roman" w:cs="Times New Roman"/>
                <w:color w:val="000000"/>
                <w:lang w:val="en-US"/>
              </w:rPr>
              <w:t>Bradbury, Malcolm. The Modern British Novel. London: Penguin, 1994.</w:t>
            </w:r>
          </w:p>
          <w:p w:rsidR="006B2EF6" w:rsidRPr="006B2EF6" w:rsidRDefault="006B2EF6">
            <w:pPr>
              <w:autoSpaceDE w:val="0"/>
              <w:autoSpaceDN w:val="0"/>
              <w:adjustRightInd w:val="0"/>
              <w:jc w:val="both"/>
              <w:rPr>
                <w:rFonts w:ascii="Times New Roman" w:hAnsi="Times New Roman" w:cs="Times New Roman"/>
                <w:color w:val="000000"/>
              </w:rPr>
            </w:pPr>
            <w:proofErr w:type="spellStart"/>
            <w:r w:rsidRPr="006B2EF6">
              <w:rPr>
                <w:rFonts w:ascii="Times New Roman" w:hAnsi="Times New Roman" w:cs="Times New Roman"/>
                <w:color w:val="000000"/>
                <w:lang w:val="en-US"/>
              </w:rPr>
              <w:t>Burzyńska</w:t>
            </w:r>
            <w:proofErr w:type="spellEnd"/>
            <w:r w:rsidRPr="006B2EF6">
              <w:rPr>
                <w:rFonts w:ascii="Times New Roman" w:hAnsi="Times New Roman" w:cs="Times New Roman"/>
                <w:color w:val="000000"/>
                <w:lang w:val="en-US"/>
              </w:rPr>
              <w:t xml:space="preserve">, Anna and </w:t>
            </w:r>
            <w:proofErr w:type="spellStart"/>
            <w:r w:rsidRPr="006B2EF6">
              <w:rPr>
                <w:rFonts w:ascii="Times New Roman" w:hAnsi="Times New Roman" w:cs="Times New Roman"/>
                <w:color w:val="000000"/>
                <w:lang w:val="en-US"/>
              </w:rPr>
              <w:t>Michał</w:t>
            </w:r>
            <w:proofErr w:type="spellEnd"/>
            <w:r w:rsidRPr="006B2EF6">
              <w:rPr>
                <w:rFonts w:ascii="Times New Roman" w:hAnsi="Times New Roman" w:cs="Times New Roman"/>
                <w:color w:val="000000"/>
                <w:lang w:val="en-US"/>
              </w:rPr>
              <w:t xml:space="preserve"> </w:t>
            </w:r>
            <w:proofErr w:type="spellStart"/>
            <w:r w:rsidRPr="006B2EF6">
              <w:rPr>
                <w:rFonts w:ascii="Times New Roman" w:hAnsi="Times New Roman" w:cs="Times New Roman"/>
                <w:color w:val="000000"/>
                <w:lang w:val="en-US"/>
              </w:rPr>
              <w:t>Paweł</w:t>
            </w:r>
            <w:proofErr w:type="spellEnd"/>
            <w:r w:rsidRPr="006B2EF6">
              <w:rPr>
                <w:rFonts w:ascii="Times New Roman" w:hAnsi="Times New Roman" w:cs="Times New Roman"/>
                <w:color w:val="000000"/>
                <w:lang w:val="en-US"/>
              </w:rPr>
              <w:t xml:space="preserve"> </w:t>
            </w:r>
            <w:proofErr w:type="spellStart"/>
            <w:r w:rsidRPr="006B2EF6">
              <w:rPr>
                <w:rFonts w:ascii="Times New Roman" w:hAnsi="Times New Roman" w:cs="Times New Roman"/>
                <w:color w:val="000000"/>
                <w:lang w:val="en-US"/>
              </w:rPr>
              <w:t>Markowski</w:t>
            </w:r>
            <w:proofErr w:type="spellEnd"/>
            <w:r w:rsidRPr="006B2EF6">
              <w:rPr>
                <w:rFonts w:ascii="Times New Roman" w:hAnsi="Times New Roman" w:cs="Times New Roman"/>
                <w:color w:val="000000"/>
                <w:lang w:val="en-US"/>
              </w:rPr>
              <w:t xml:space="preserve">. </w:t>
            </w:r>
            <w:r w:rsidRPr="006B2EF6">
              <w:rPr>
                <w:rFonts w:ascii="Times New Roman" w:hAnsi="Times New Roman" w:cs="Times New Roman"/>
                <w:color w:val="000000"/>
              </w:rPr>
              <w:t>Teorie Literatury XX wieku. Znak, 2006.</w:t>
            </w:r>
          </w:p>
          <w:p w:rsidR="006B2EF6" w:rsidRPr="006B2EF6" w:rsidRDefault="006B2EF6">
            <w:pPr>
              <w:tabs>
                <w:tab w:val="center" w:pos="4536"/>
                <w:tab w:val="right" w:pos="9072"/>
              </w:tabs>
              <w:autoSpaceDE w:val="0"/>
              <w:autoSpaceDN w:val="0"/>
              <w:adjustRightInd w:val="0"/>
              <w:spacing w:line="240" w:lineRule="atLeast"/>
              <w:jc w:val="both"/>
              <w:rPr>
                <w:rFonts w:ascii="Times New Roman" w:hAnsi="Times New Roman" w:cs="Times New Roman"/>
                <w:color w:val="000000"/>
                <w:spacing w:val="-3"/>
                <w:kern w:val="1"/>
                <w:lang w:val="en-US"/>
              </w:rPr>
            </w:pPr>
            <w:r w:rsidRPr="006B2EF6">
              <w:rPr>
                <w:rFonts w:ascii="Times New Roman" w:hAnsi="Times New Roman" w:cs="Times New Roman"/>
                <w:color w:val="000000"/>
                <w:spacing w:val="-3"/>
                <w:kern w:val="1"/>
                <w:lang w:val="en-US"/>
              </w:rPr>
              <w:t>Kennedy, X. J. et al. The Bedford Guide for College Writers. 5th ed. Boston.</w:t>
            </w:r>
          </w:p>
          <w:p w:rsidR="006B2EF6" w:rsidRPr="006B2EF6" w:rsidRDefault="006B2EF6">
            <w:pPr>
              <w:tabs>
                <w:tab w:val="center" w:pos="4536"/>
                <w:tab w:val="right" w:pos="9072"/>
              </w:tabs>
              <w:autoSpaceDE w:val="0"/>
              <w:autoSpaceDN w:val="0"/>
              <w:adjustRightInd w:val="0"/>
              <w:spacing w:line="240" w:lineRule="atLeast"/>
              <w:jc w:val="both"/>
              <w:rPr>
                <w:rFonts w:ascii="Times New Roman" w:hAnsi="Times New Roman" w:cs="Times New Roman"/>
                <w:color w:val="000000"/>
                <w:spacing w:val="-3"/>
                <w:kern w:val="1"/>
                <w:lang w:val="en-US"/>
              </w:rPr>
            </w:pPr>
            <w:proofErr w:type="spellStart"/>
            <w:r w:rsidRPr="006B2EF6">
              <w:rPr>
                <w:rFonts w:ascii="Times New Roman" w:hAnsi="Times New Roman" w:cs="Times New Roman"/>
                <w:color w:val="000000"/>
                <w:spacing w:val="-3"/>
                <w:kern w:val="1"/>
                <w:lang w:val="en-US"/>
              </w:rPr>
              <w:t>Klarer</w:t>
            </w:r>
            <w:proofErr w:type="spellEnd"/>
            <w:r w:rsidRPr="006B2EF6">
              <w:rPr>
                <w:rFonts w:ascii="Times New Roman" w:hAnsi="Times New Roman" w:cs="Times New Roman"/>
                <w:color w:val="000000"/>
                <w:spacing w:val="-3"/>
                <w:kern w:val="1"/>
                <w:lang w:val="en-US"/>
              </w:rPr>
              <w:t>, Mario. An Introduction to Literary Studies. London: Routledge, 2006.</w:t>
            </w:r>
          </w:p>
          <w:p w:rsidR="006B2EF6" w:rsidRPr="006B2EF6" w:rsidRDefault="006B2EF6">
            <w:pPr>
              <w:autoSpaceDE w:val="0"/>
              <w:autoSpaceDN w:val="0"/>
              <w:adjustRightInd w:val="0"/>
              <w:jc w:val="both"/>
              <w:rPr>
                <w:rFonts w:ascii="Times New Roman" w:hAnsi="Times New Roman" w:cs="Times New Roman"/>
                <w:color w:val="000000"/>
              </w:rPr>
            </w:pPr>
            <w:proofErr w:type="spellStart"/>
            <w:r w:rsidRPr="006B2EF6">
              <w:rPr>
                <w:rFonts w:ascii="Times New Roman" w:hAnsi="Times New Roman" w:cs="Times New Roman"/>
                <w:color w:val="000000"/>
                <w:lang w:val="en-US"/>
              </w:rPr>
              <w:t>Rennison</w:t>
            </w:r>
            <w:proofErr w:type="spellEnd"/>
            <w:r w:rsidRPr="006B2EF6">
              <w:rPr>
                <w:rFonts w:ascii="Times New Roman" w:hAnsi="Times New Roman" w:cs="Times New Roman"/>
                <w:color w:val="000000"/>
                <w:lang w:val="en-US"/>
              </w:rPr>
              <w:t xml:space="preserve">, Nick. Contemporary British Novelists. </w:t>
            </w:r>
            <w:r w:rsidRPr="006B2EF6">
              <w:rPr>
                <w:rFonts w:ascii="Times New Roman" w:hAnsi="Times New Roman" w:cs="Times New Roman"/>
                <w:color w:val="000000"/>
              </w:rPr>
              <w:t xml:space="preserve">London: </w:t>
            </w:r>
            <w:proofErr w:type="spellStart"/>
            <w:r w:rsidRPr="006B2EF6">
              <w:rPr>
                <w:rFonts w:ascii="Times New Roman" w:hAnsi="Times New Roman" w:cs="Times New Roman"/>
                <w:color w:val="000000"/>
              </w:rPr>
              <w:t>Routledge</w:t>
            </w:r>
            <w:proofErr w:type="spellEnd"/>
            <w:r w:rsidRPr="006B2EF6">
              <w:rPr>
                <w:rFonts w:ascii="Times New Roman" w:hAnsi="Times New Roman" w:cs="Times New Roman"/>
                <w:color w:val="000000"/>
              </w:rPr>
              <w:t>, 2005.</w:t>
            </w:r>
          </w:p>
          <w:p w:rsidR="006B2EF6" w:rsidRPr="006B2EF6" w:rsidRDefault="006B2E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6B2EF6" w:rsidRPr="006B2EF6" w:rsidRDefault="006B2EF6" w:rsidP="006B2EF6">
      <w:pPr>
        <w:autoSpaceDE w:val="0"/>
        <w:autoSpaceDN w:val="0"/>
        <w:adjustRightInd w:val="0"/>
        <w:spacing w:line="276" w:lineRule="auto"/>
        <w:rPr>
          <w:rFonts w:ascii="Times New Roman" w:hAnsi="Times New Roman" w:cs="Times New Roman"/>
          <w:b/>
          <w:bCs/>
          <w:color w:val="000000"/>
        </w:rPr>
      </w:pPr>
    </w:p>
    <w:p w:rsidR="001C7D18" w:rsidRPr="006B2EF6" w:rsidRDefault="001C7D18">
      <w:pPr>
        <w:rPr>
          <w:rFonts w:ascii="Times New Roman" w:hAnsi="Times New Roman" w:cs="Times New Roman"/>
        </w:rPr>
      </w:pPr>
    </w:p>
    <w:sectPr w:rsidR="001C7D18" w:rsidRPr="006B2EF6" w:rsidSect="0021217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50" w:rsidRDefault="00D10250" w:rsidP="006B2EF6">
      <w:r>
        <w:separator/>
      </w:r>
    </w:p>
  </w:endnote>
  <w:endnote w:type="continuationSeparator" w:id="0">
    <w:p w:rsidR="00D10250" w:rsidRDefault="00D10250" w:rsidP="006B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50" w:rsidRDefault="00D10250" w:rsidP="006B2EF6">
      <w:r>
        <w:separator/>
      </w:r>
    </w:p>
  </w:footnote>
  <w:footnote w:type="continuationSeparator" w:id="0">
    <w:p w:rsidR="00D10250" w:rsidRDefault="00D10250" w:rsidP="006B2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EF6" w:rsidRPr="006B2EF6" w:rsidRDefault="006B2EF6" w:rsidP="006B2EF6">
    <w:pPr>
      <w:pStyle w:val="Nagwek"/>
      <w:jc w:val="right"/>
      <w:rPr>
        <w:rFonts w:ascii="Times New Roman" w:hAnsi="Times New Roman" w:cs="Times New Roman"/>
        <w:i/>
      </w:rPr>
    </w:pPr>
    <w:r w:rsidRPr="006B2EF6">
      <w:rPr>
        <w:rFonts w:ascii="Times New Roman" w:hAnsi="Times New Roman" w:cs="Times New Roman"/>
        <w:i/>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8"/>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F6"/>
    <w:rsid w:val="001C7D18"/>
    <w:rsid w:val="006A36D9"/>
    <w:rsid w:val="006B2EF6"/>
    <w:rsid w:val="00766058"/>
    <w:rsid w:val="008F1E0D"/>
    <w:rsid w:val="00D10250"/>
    <w:rsid w:val="00D13F29"/>
    <w:rsid w:val="00FE0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FF5E54"/>
  <w15:chartTrackingRefBased/>
  <w15:docId w15:val="{1E87509A-C7BB-EB43-A7CB-7BBF9700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EF6"/>
    <w:pPr>
      <w:tabs>
        <w:tab w:val="center" w:pos="4536"/>
        <w:tab w:val="right" w:pos="9072"/>
      </w:tabs>
    </w:pPr>
  </w:style>
  <w:style w:type="character" w:customStyle="1" w:styleId="NagwekZnak">
    <w:name w:val="Nagłówek Znak"/>
    <w:basedOn w:val="Domylnaczcionkaakapitu"/>
    <w:link w:val="Nagwek"/>
    <w:uiPriority w:val="99"/>
    <w:rsid w:val="006B2EF6"/>
  </w:style>
  <w:style w:type="paragraph" w:styleId="Stopka">
    <w:name w:val="footer"/>
    <w:basedOn w:val="Normalny"/>
    <w:link w:val="StopkaZnak"/>
    <w:uiPriority w:val="99"/>
    <w:unhideWhenUsed/>
    <w:rsid w:val="006B2EF6"/>
    <w:pPr>
      <w:tabs>
        <w:tab w:val="center" w:pos="4536"/>
        <w:tab w:val="right" w:pos="9072"/>
      </w:tabs>
    </w:pPr>
  </w:style>
  <w:style w:type="character" w:customStyle="1" w:styleId="StopkaZnak">
    <w:name w:val="Stopka Znak"/>
    <w:basedOn w:val="Domylnaczcionkaakapitu"/>
    <w:link w:val="Stopka"/>
    <w:uiPriority w:val="99"/>
    <w:rsid w:val="006B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1749</Words>
  <Characters>10500</Characters>
  <Application>Microsoft Office Word</Application>
  <DocSecurity>0</DocSecurity>
  <Lines>87</Lines>
  <Paragraphs>24</Paragraphs>
  <ScaleCrop>false</ScaleCrop>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2020-10-04T17:31:00Z</dcterms:created>
  <dcterms:modified xsi:type="dcterms:W3CDTF">2020-10-04T17:35:00Z</dcterms:modified>
</cp:coreProperties>
</file>