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F0" w:rsidRPr="00041AF0" w:rsidRDefault="00041AF0" w:rsidP="00041AF0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041AF0" w:rsidRPr="00041AF0" w:rsidRDefault="00041AF0" w:rsidP="00041AF0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bCs/>
          <w:color w:val="000000"/>
        </w:rPr>
      </w:pPr>
    </w:p>
    <w:p w:rsidR="00041AF0" w:rsidRPr="00041AF0" w:rsidRDefault="00041AF0" w:rsidP="00041AF0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041AF0" w:rsidRPr="00041AF0" w:rsidTr="00041AF0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Praktyczna nauka języka angielskiego – tłumaczenia pisemne angielsko-polskie, polsko-angielskie</w:t>
            </w:r>
          </w:p>
        </w:tc>
      </w:tr>
      <w:tr w:rsidR="00041AF0" w:rsidRPr="00C52B2C" w:rsidTr="00041AF0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Practical English – English-Polish, Polish-English written translation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Językoznawstwo, literaturoznawstwo</w:t>
            </w:r>
          </w:p>
        </w:tc>
      </w:tr>
      <w:tr w:rsidR="00041AF0" w:rsidRPr="00041AF0" w:rsidTr="00041AF0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041AF0" w:rsidRPr="00041AF0" w:rsidRDefault="00041AF0" w:rsidP="00041A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041AF0" w:rsidRPr="00041AF0" w:rsidTr="00041AF0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 xml:space="preserve">dr Karolina 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</w:rPr>
              <w:t>Drabikowska</w:t>
            </w:r>
            <w:proofErr w:type="spellEnd"/>
          </w:p>
        </w:tc>
      </w:tr>
    </w:tbl>
    <w:p w:rsidR="00041AF0" w:rsidRPr="00041AF0" w:rsidRDefault="00041AF0" w:rsidP="00041A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40"/>
        <w:gridCol w:w="2380"/>
        <w:gridCol w:w="3227"/>
      </w:tblGrid>
      <w:tr w:rsidR="00041AF0" w:rsidRPr="00041AF0" w:rsidTr="00041AF0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Forma zajęć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041AF0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41AF0" w:rsidRPr="00041AF0" w:rsidTr="00041AF0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1AF0" w:rsidRPr="00041AF0" w:rsidRDefault="00041AF0" w:rsidP="00041A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7547"/>
      </w:tblGrid>
      <w:tr w:rsidR="00041AF0" w:rsidRPr="00041AF0" w:rsidTr="00041AF0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Znajomość języka angielskiego zgodna z wymaganiami stawianymi studentom, którzy ukończyli studia I stopnia.</w:t>
            </w:r>
          </w:p>
        </w:tc>
      </w:tr>
    </w:tbl>
    <w:p w:rsidR="00041AF0" w:rsidRDefault="00041AF0" w:rsidP="00041AF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</w:p>
    <w:p w:rsidR="00041AF0" w:rsidRPr="00041AF0" w:rsidRDefault="00041AF0" w:rsidP="00041AF0">
      <w:pPr>
        <w:pStyle w:val="Akapitzlist"/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41AF0" w:rsidRPr="00041AF0" w:rsidTr="00041AF0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C1 Zapoznanie z warsztatem tłumacza</w:t>
            </w:r>
          </w:p>
        </w:tc>
      </w:tr>
      <w:tr w:rsidR="00041AF0" w:rsidRPr="00041AF0" w:rsidTr="00041AF0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C2 Rozwijanie umiejętności przekładowych tekstów ogólnych</w:t>
            </w:r>
          </w:p>
        </w:tc>
      </w:tr>
    </w:tbl>
    <w:p w:rsidR="00041AF0" w:rsidRDefault="00041AF0" w:rsidP="00041AF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</w:p>
    <w:p w:rsidR="00041AF0" w:rsidRDefault="00041AF0" w:rsidP="00041AF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</w:p>
    <w:p w:rsidR="00041AF0" w:rsidRPr="00041AF0" w:rsidRDefault="00041AF0" w:rsidP="00041AF0">
      <w:pPr>
        <w:pStyle w:val="Akapitzlist"/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lastRenderedPageBreak/>
        <w:t>Efekty uczenia się dla przedmiotu wraz z odniesieniem do efektów kierunkowych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83"/>
        <w:gridCol w:w="2489"/>
      </w:tblGrid>
      <w:tr w:rsidR="00041AF0" w:rsidRPr="00041AF0" w:rsidTr="00041AF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analizuje teksty poddawane tłumaczeniu napisane zarówno w języku polskim jak w angielskim w odniesieniu do ich struktury językowej, stylu, rejestru i cech kontrastywnych.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K_W03, K_W06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dobiera odpowiednie źródła, słowniki i zasoby internetowe.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K_W09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organizuje swój warsztat tłumacza w oparciu o poznane techniki i strategie tłumaczeniowe.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K_W10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tworzy poprawne językowo i merytorycznie tłumaczenia w oparciu o dostępne zasoby i narzędzia cyfrowe.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 xml:space="preserve">K_U03, K_U04 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dyskutuje na tematy związane z tłumaczeniem i technikami tłumaczeniowymi z użyciem odpowiedniej terminologii.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K_U05, K_U06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wykonuje tłumaczenia samodzielnie i w grupie.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K_U08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poddaje krytycznej ocenie własną wiedzę i umiejętności, a także innych uczestników zajęć w zakresie tłumaczeń.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akceptuje konieczność uciekania się do wiedzy eksperckiej, m.in. słowników, rzetelnych źródeł, sugestii prowadzącego.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  <w:tr w:rsidR="00041AF0" w:rsidRPr="00041AF0" w:rsidTr="00041AF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Student wykazuje odpowiedzialność za rzetelne wykonywanie swojej pracy.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K_K05, K_K06</w:t>
            </w:r>
          </w:p>
        </w:tc>
      </w:tr>
    </w:tbl>
    <w:p w:rsidR="00041AF0" w:rsidRPr="00041AF0" w:rsidRDefault="00041AF0" w:rsidP="00041AF0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160"/>
        <w:ind w:left="1077" w:hanging="1077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>Opis przedmiotu / treści programowe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41AF0" w:rsidRPr="00041AF0" w:rsidTr="00041AF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Problematyka ćwiczeń. Strategie i techniki w tłumaczeniach pisemnych.  Problemy napotykane przez tłumacza i sposoby radzenia sobie z nimi. Elementy gramatyki kontrastywnej (podstawowe zagadnienia leksykalno-gramatyczne). Konwencje zapisu w ujęciu kontrastywnym. Analiza i tłumaczenie wybranych tekstów. Analiza i korekta błędów popełnionych w projektach semestralnych.</w:t>
            </w:r>
          </w:p>
        </w:tc>
      </w:tr>
    </w:tbl>
    <w:p w:rsidR="00041AF0" w:rsidRPr="00041AF0" w:rsidRDefault="00041AF0" w:rsidP="00041AF0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160"/>
        <w:ind w:left="1077" w:hanging="1077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840"/>
        <w:gridCol w:w="2660"/>
        <w:gridCol w:w="3649"/>
      </w:tblGrid>
      <w:tr w:rsidR="00041AF0" w:rsidRPr="00041AF0" w:rsidTr="00041AF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praca z tekstem, studium przypadku, praca pod kierunkiem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uzupełniony i sprawdzony sprawdzian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praca z tekstem, studium przypadku, praca pod kierunkiem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uzupełniony i sprawdzony sprawdzian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burza mózgów, praca z tekstem, studium przypadku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uzupełniony i sprawdzony sprawdzian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lastRenderedPageBreak/>
              <w:t>U_01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analiza tekstu, ćwiczenia praktyczne, praca pod kierunkiem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uzupełniony i sprawdzony sprawdzian.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analiza tekstu, burza mózgów/giełda pomysłów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uzupełniony i sprawdzony sprawdzian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ćwiczenia praktyczne, praca pod kierunkiem, praca zespołowa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obserwacja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karta oceny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41AF0" w:rsidRPr="00041AF0" w:rsidRDefault="00041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metoda projektu, praca w grupach w różnych rolach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obserwacja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karta oceny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metoda projektu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obserwacja, sprawdzian pisemny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karta oceny, uzupełniony i sprawdzony sprawdzian</w:t>
            </w:r>
          </w:p>
        </w:tc>
      </w:tr>
      <w:tr w:rsidR="00041AF0" w:rsidRPr="00041AF0" w:rsidTr="00041AF0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dyskusja, metoda projektu, praca w grupach w różnych rolach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Praca pisemna, obserwacja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Oceniony tekst pracy pisemnej, karta oceny</w:t>
            </w:r>
          </w:p>
        </w:tc>
      </w:tr>
    </w:tbl>
    <w:p w:rsidR="00041AF0" w:rsidRDefault="00041AF0" w:rsidP="00041AF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</w:rPr>
      </w:pPr>
    </w:p>
    <w:p w:rsidR="00041AF0" w:rsidRPr="00041AF0" w:rsidRDefault="00041AF0" w:rsidP="00041AF0">
      <w:pPr>
        <w:pStyle w:val="Akapitzlist"/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8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C52B2C" w:rsidRPr="00C52B2C" w:rsidRDefault="00C52B2C" w:rsidP="00C52B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Podstawą zaliczenia przedmiotu jest obecność (z możliwością 2 nieobecności nieusprawiedliwionych) oraz aktywność na zajęciach. Ocena końcowa jest obliczana na podstawie: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1. pisemnego tłumaczenia tekstu ze zbioru zaproponowanego przez prowadzącego zajęcia (60% oceny końcowej);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 xml:space="preserve">2. prac domowych: zadań – sprawdzianów na platformie </w:t>
      </w:r>
      <w:proofErr w:type="spellStart"/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Moodle</w:t>
      </w:r>
      <w:proofErr w:type="spellEnd"/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(30% oceny końcowej);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3. pracy na zajęciach i wykonywanych podczas zajęć zadań grupowych i indywidualnych (10% oceny końcowej).</w:t>
      </w:r>
    </w:p>
    <w:p w:rsidR="00C52B2C" w:rsidRPr="00C52B2C" w:rsidRDefault="00C52B2C" w:rsidP="00C52B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52B2C" w:rsidRPr="00C52B2C" w:rsidRDefault="00C52B2C" w:rsidP="00C52B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Wynik końcowy jest średnią ważoną wyników wszystkich zadań. Poszczególne wagi są obliczane na podstawie maksymalnej liczby punk</w:t>
      </w:r>
      <w:bookmarkStart w:id="0" w:name="_GoBack"/>
      <w:bookmarkEnd w:id="0"/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tów do uzyskania w każdym zadaniu. Tego rodzaju średnia równa się stosunkowi sumy uzyskanych przez studenta punktów do maksymalnej liczby punktów możliwych do uzyskania w danym semestrze.</w:t>
      </w:r>
    </w:p>
    <w:p w:rsidR="00C52B2C" w:rsidRPr="00C52B2C" w:rsidRDefault="00C52B2C" w:rsidP="00C52B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:rsidR="00C52B2C" w:rsidRPr="00C52B2C" w:rsidRDefault="00C52B2C" w:rsidP="00C52B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Skala ocen końcowych to: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5     93-100%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4.5  85-92%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4     77-84%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3.5  69-76%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3     60-68%</w:t>
      </w:r>
      <w:r w:rsidRPr="00C52B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  <w:t>2     0-59%</w:t>
      </w:r>
    </w:p>
    <w:p w:rsidR="00C52B2C" w:rsidRPr="00C52B2C" w:rsidRDefault="00C52B2C" w:rsidP="00C52B2C">
      <w:pPr>
        <w:rPr>
          <w:rFonts w:ascii="Lucida Grande" w:eastAsia="Times New Roman" w:hAnsi="Lucida Grande" w:cs="Lucida Grande"/>
          <w:color w:val="333333"/>
          <w:sz w:val="17"/>
          <w:szCs w:val="17"/>
          <w:lang w:eastAsia="pl-PL"/>
        </w:rPr>
      </w:pPr>
    </w:p>
    <w:p w:rsidR="00041AF0" w:rsidRPr="00041AF0" w:rsidRDefault="00041AF0" w:rsidP="00041AF0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120"/>
        <w:ind w:left="1077" w:hanging="1077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  <w:kern w:val="1"/>
        </w:rPr>
        <w:tab/>
      </w:r>
      <w:r w:rsidRPr="00041AF0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007"/>
      </w:tblGrid>
      <w:tr w:rsidR="00041AF0" w:rsidRPr="00041AF0" w:rsidTr="00041AF0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41AF0" w:rsidRPr="00041AF0" w:rsidTr="00041AF0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</w:tbl>
    <w:p w:rsidR="00041AF0" w:rsidRDefault="00041AF0" w:rsidP="00041AF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kern w:val="1"/>
        </w:rPr>
      </w:pPr>
    </w:p>
    <w:p w:rsidR="00041AF0" w:rsidRPr="00041AF0" w:rsidRDefault="00041AF0" w:rsidP="00041AF0">
      <w:pPr>
        <w:pStyle w:val="Akapitzlist"/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</w:rPr>
      </w:pPr>
      <w:r w:rsidRPr="00041AF0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41AF0" w:rsidRPr="00041AF0" w:rsidTr="00041AF0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1AF0">
              <w:rPr>
                <w:rFonts w:ascii="Times New Roman" w:hAnsi="Times New Roman" w:cs="Times New Roman"/>
                <w:color w:val="000000"/>
              </w:rPr>
              <w:lastRenderedPageBreak/>
              <w:t>Belczyk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</w:rPr>
              <w:t xml:space="preserve">, A. 2014.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>Poradnik tłumacza.</w:t>
            </w:r>
            <w:r w:rsidRPr="00041AF0">
              <w:rPr>
                <w:rFonts w:ascii="Times New Roman" w:hAnsi="Times New Roman" w:cs="Times New Roman"/>
                <w:color w:val="000000"/>
              </w:rPr>
              <w:t xml:space="preserve"> Bielsko-Biała: Wydawnictwo Dla Szkoły.</w:t>
            </w:r>
          </w:p>
          <w:p w:rsidR="00041AF0" w:rsidRPr="00041AF0" w:rsidRDefault="00041AF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Douglas-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Kozłowska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, C. 2011.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Difficult Words in Polish-English Translation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041AF0">
              <w:rPr>
                <w:rFonts w:ascii="Times New Roman" w:hAnsi="Times New Roman" w:cs="Times New Roman"/>
                <w:color w:val="000000"/>
              </w:rPr>
              <w:t>Warszawa: Wydawnictwo Naukowe PWN.</w:t>
            </w:r>
          </w:p>
          <w:p w:rsidR="00041AF0" w:rsidRPr="00041AF0" w:rsidRDefault="00041AF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 xml:space="preserve">Korzeniowska, A. and 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</w:rPr>
              <w:t>Kuhiwczak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</w:rPr>
              <w:t xml:space="preserve">, P. 2005. </w:t>
            </w:r>
            <w:proofErr w:type="spellStart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>Successful</w:t>
            </w:r>
            <w:proofErr w:type="spellEnd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>Polish</w:t>
            </w:r>
            <w:proofErr w:type="spellEnd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-English </w:t>
            </w:r>
            <w:proofErr w:type="spellStart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>Translation</w:t>
            </w:r>
            <w:proofErr w:type="spellEnd"/>
            <w:r w:rsidRPr="00041AF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Tricks of the Trade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Warszawa: 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Wydawnictwo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Naukowe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 PWN.</w:t>
            </w:r>
          </w:p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Macpherson, R. 2007.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English for Writers and Translators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041AF0">
              <w:rPr>
                <w:rFonts w:ascii="Times New Roman" w:hAnsi="Times New Roman" w:cs="Times New Roman"/>
                <w:color w:val="000000"/>
              </w:rPr>
              <w:t>Warszawa: Wydawnictwo Naukowe PWN.</w:t>
            </w:r>
          </w:p>
        </w:tc>
      </w:tr>
      <w:tr w:rsidR="00041AF0" w:rsidRPr="00041AF0" w:rsidTr="00041AF0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041AF0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041AF0" w:rsidRPr="00C52B2C" w:rsidTr="00041AF0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Baker, M. 1992.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 Other Words: A Coursebook on Translation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London: Routledge. </w:t>
            </w:r>
          </w:p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Bell, R. T. 1991.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Translation and Translating: Theory and Practice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London: Longman. </w:t>
            </w:r>
          </w:p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Hatim, B. and </w:t>
            </w: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Munday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, J.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2004. Translation: An Advanced Resource Book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. Routledge Applied Linguistics. </w:t>
            </w:r>
          </w:p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Lipiński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, K. 2006. </w:t>
            </w:r>
            <w:proofErr w:type="spellStart"/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Vademecum</w:t>
            </w:r>
            <w:proofErr w:type="spellEnd"/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tłumacza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. Kraków: Idea.</w:t>
            </w:r>
          </w:p>
          <w:p w:rsidR="00041AF0" w:rsidRPr="00041AF0" w:rsidRDefault="00041AF0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Munday</w:t>
            </w:r>
            <w:proofErr w:type="spellEnd"/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, J. 2001.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Introducing Translation Studies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. London: Routledge.</w:t>
            </w:r>
          </w:p>
          <w:p w:rsidR="00041AF0" w:rsidRPr="00041AF0" w:rsidRDefault="00041A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 xml:space="preserve">Samuelsson-Brown, G.. 2010. </w:t>
            </w:r>
            <w:r w:rsidRPr="00041AF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A Practical Guide for Translators</w:t>
            </w:r>
            <w:r w:rsidRPr="00041AF0">
              <w:rPr>
                <w:rFonts w:ascii="Times New Roman" w:hAnsi="Times New Roman" w:cs="Times New Roman"/>
                <w:color w:val="000000"/>
                <w:lang w:val="en-US"/>
              </w:rPr>
              <w:t>. 5th edition. Bristol, Buffalo, Toronto: Multilingual Matters.</w:t>
            </w:r>
          </w:p>
        </w:tc>
      </w:tr>
    </w:tbl>
    <w:p w:rsidR="001C7D18" w:rsidRPr="00041AF0" w:rsidRDefault="001C7D18">
      <w:pPr>
        <w:rPr>
          <w:rFonts w:ascii="Times New Roman" w:hAnsi="Times New Roman" w:cs="Times New Roman"/>
          <w:lang w:val="en-US"/>
        </w:rPr>
      </w:pPr>
    </w:p>
    <w:sectPr w:rsidR="001C7D18" w:rsidRPr="00041AF0" w:rsidSect="00FE02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C3" w:rsidRDefault="007B79C3" w:rsidP="00041AF0">
      <w:r>
        <w:separator/>
      </w:r>
    </w:p>
  </w:endnote>
  <w:endnote w:type="continuationSeparator" w:id="0">
    <w:p w:rsidR="007B79C3" w:rsidRDefault="007B79C3" w:rsidP="000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C3" w:rsidRDefault="007B79C3" w:rsidP="00041AF0">
      <w:r>
        <w:separator/>
      </w:r>
    </w:p>
  </w:footnote>
  <w:footnote w:type="continuationSeparator" w:id="0">
    <w:p w:rsidR="007B79C3" w:rsidRDefault="007B79C3" w:rsidP="0004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F0" w:rsidRPr="00041AF0" w:rsidRDefault="00041AF0" w:rsidP="00041AF0">
    <w:pPr>
      <w:pStyle w:val="Nagwek"/>
      <w:jc w:val="right"/>
      <w:rPr>
        <w:rFonts w:ascii="Times New Roman" w:hAnsi="Times New Roman" w:cs="Times New Roman"/>
        <w:i/>
      </w:rPr>
    </w:pPr>
    <w:r w:rsidRPr="00041AF0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F0"/>
    <w:rsid w:val="00041AF0"/>
    <w:rsid w:val="000C2654"/>
    <w:rsid w:val="001C7D18"/>
    <w:rsid w:val="006A36D9"/>
    <w:rsid w:val="00766058"/>
    <w:rsid w:val="007B79C3"/>
    <w:rsid w:val="008F1E0D"/>
    <w:rsid w:val="00C52B2C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8A1E"/>
  <w15:chartTrackingRefBased/>
  <w15:docId w15:val="{A3FD4306-9430-F341-BCB4-A23626F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AF0"/>
  </w:style>
  <w:style w:type="paragraph" w:styleId="Stopka">
    <w:name w:val="footer"/>
    <w:basedOn w:val="Normalny"/>
    <w:link w:val="StopkaZnak"/>
    <w:uiPriority w:val="99"/>
    <w:unhideWhenUsed/>
    <w:rsid w:val="00041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AF0"/>
  </w:style>
  <w:style w:type="paragraph" w:styleId="Akapitzlist">
    <w:name w:val="List Paragraph"/>
    <w:basedOn w:val="Normalny"/>
    <w:uiPriority w:val="34"/>
    <w:qFormat/>
    <w:rsid w:val="000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5608</Characters>
  <Application>Microsoft Office Word</Application>
  <DocSecurity>0</DocSecurity>
  <Lines>233</Lines>
  <Paragraphs>142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2020-10-05T06:43:00Z</dcterms:created>
  <dcterms:modified xsi:type="dcterms:W3CDTF">2021-04-19T10:04:00Z</dcterms:modified>
</cp:coreProperties>
</file>