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KARTA PRZEDMIOTU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Dane podstawowe</w:t>
      </w:r>
    </w:p>
    <w:tbl>
      <w:tblPr>
        <w:tblW w:w="9015" w:type="dxa"/>
        <w:jc w:val="left"/>
        <w:tblInd w:w="1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8"/>
        <w:gridCol w:w="4507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50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Nazwa przedmiotu</w:t>
            </w:r>
          </w:p>
        </w:tc>
        <w:tc>
          <w:tcPr>
            <w:tcW w:type="dxa" w:w="450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Teksty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zykowego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0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Nazwa przedmiotu w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zyku angielskim</w:t>
            </w:r>
          </w:p>
        </w:tc>
        <w:tc>
          <w:tcPr>
            <w:tcW w:type="dxa" w:w="450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Culture-based texts in English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0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Kierunek studi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 xml:space="preserve">w </w:t>
            </w:r>
          </w:p>
        </w:tc>
        <w:tc>
          <w:tcPr>
            <w:tcW w:type="dxa" w:w="450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Filologia angielska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50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Poziom studi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(I, II, jednolite magisterskie)</w:t>
            </w:r>
          </w:p>
        </w:tc>
        <w:tc>
          <w:tcPr>
            <w:tcW w:type="dxa" w:w="450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</w:rPr>
              <w:t>II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50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it-IT"/>
              </w:rPr>
              <w:t>Forma studi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(stacjonarne, niestacjonarne)</w:t>
            </w:r>
          </w:p>
        </w:tc>
        <w:tc>
          <w:tcPr>
            <w:tcW w:type="dxa" w:w="450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</w:rPr>
              <w:t>stacjonarne</w:t>
            </w:r>
          </w:p>
        </w:tc>
      </w:tr>
      <w:tr>
        <w:tblPrEx>
          <w:shd w:val="clear" w:color="auto" w:fill="ced7e7"/>
        </w:tblPrEx>
        <w:trPr>
          <w:trHeight w:val="384" w:hRule="atLeast"/>
        </w:trPr>
        <w:tc>
          <w:tcPr>
            <w:tcW w:type="dxa" w:w="450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Dyscyplina</w:t>
            </w:r>
          </w:p>
        </w:tc>
        <w:tc>
          <w:tcPr>
            <w:tcW w:type="dxa" w:w="450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literaturoznawstwo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50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 wyk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adowy</w:t>
            </w:r>
          </w:p>
        </w:tc>
        <w:tc>
          <w:tcPr>
            <w:tcW w:type="dxa" w:w="450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 angielski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50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Koordynator przedmiotu/osoba odpowiedzialna</w:t>
            </w:r>
          </w:p>
        </w:tc>
        <w:tc>
          <w:tcPr>
            <w:tcW w:type="dxa" w:w="450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it-IT"/>
              </w:rPr>
              <w:t>Dr Dominika Bugno-Narecka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hd w:val="clear" w:color="auto" w:fill="ffffff"/>
        <w:spacing w:line="240" w:lineRule="auto"/>
      </w:pPr>
    </w:p>
    <w:p>
      <w:pPr>
        <w:pStyle w:val="Body"/>
        <w:widowControl w:val="0"/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pStyle w:val="Body"/>
        <w:shd w:val="clear" w:color="auto" w:fill="ffffff"/>
        <w:spacing w:after="0"/>
        <w:rPr>
          <w:sz w:val="20"/>
          <w:szCs w:val="20"/>
        </w:rPr>
      </w:pPr>
    </w:p>
    <w:tbl>
      <w:tblPr>
        <w:tblW w:w="9066" w:type="dxa"/>
        <w:jc w:val="left"/>
        <w:tblInd w:w="1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6"/>
        <w:gridCol w:w="2267"/>
        <w:gridCol w:w="2267"/>
        <w:gridCol w:w="2266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Forma zaj</w:t>
            </w:r>
            <w:r>
              <w:rPr>
                <w:rStyle w:val="None"/>
                <w:sz w:val="20"/>
                <w:szCs w:val="20"/>
                <w:rtl w:val="0"/>
              </w:rPr>
              <w:t xml:space="preserve">ęć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(katalog zamkni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ty ze s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ownika)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Liczba godzin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  <w:lang w:val="pt-PT"/>
              </w:rPr>
              <w:t>semestr</w:t>
            </w:r>
          </w:p>
        </w:tc>
        <w:tc>
          <w:tcPr>
            <w:tcW w:type="dxa" w:w="226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Punkty ECTS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wyk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ad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konwersatorium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ć</w:t>
            </w:r>
            <w:r>
              <w:rPr>
                <w:rStyle w:val="None"/>
                <w:sz w:val="20"/>
                <w:szCs w:val="20"/>
                <w:rtl w:val="0"/>
              </w:rPr>
              <w:t>wiczenia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</w:rPr>
              <w:t>III</w:t>
            </w:r>
          </w:p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it-IT"/>
              </w:rPr>
              <w:t>laboratorium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warsztaty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seminarium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proseminarium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lektorat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praktyki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zaj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cia terenowe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pracownia dyplomowa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de-DE"/>
              </w:rPr>
              <w:t>translatorium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wizyta studyjna</w:t>
            </w:r>
          </w:p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shd w:val="clear" w:color="auto" w:fill="ffffff"/>
        <w:spacing w:after="0" w:line="240" w:lineRule="auto"/>
        <w:ind w:left="41" w:hanging="41"/>
        <w:rPr>
          <w:sz w:val="20"/>
          <w:szCs w:val="20"/>
        </w:rPr>
      </w:pPr>
    </w:p>
    <w:p>
      <w:pPr>
        <w:pStyle w:val="Body"/>
        <w:widowControl w:val="0"/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pStyle w:val="Body"/>
        <w:shd w:val="clear" w:color="auto" w:fill="ffffff"/>
        <w:spacing w:after="0"/>
        <w:rPr>
          <w:sz w:val="20"/>
          <w:szCs w:val="20"/>
        </w:rPr>
      </w:pPr>
    </w:p>
    <w:tbl>
      <w:tblPr>
        <w:tblW w:w="9211" w:type="dxa"/>
        <w:jc w:val="left"/>
        <w:tblInd w:w="1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4"/>
        <w:gridCol w:w="6977"/>
      </w:tblGrid>
      <w:tr>
        <w:tblPrEx>
          <w:shd w:val="clear" w:color="auto" w:fill="ced7e7"/>
        </w:tblPrEx>
        <w:trPr>
          <w:trHeight w:val="989" w:hRule="atLeast"/>
        </w:trPr>
        <w:tc>
          <w:tcPr>
            <w:tcW w:type="dxa" w:w="223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Wymagania wst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pne</w:t>
            </w:r>
          </w:p>
        </w:tc>
        <w:tc>
          <w:tcPr>
            <w:tcW w:type="dxa" w:w="697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1. Dobra znajomo</w:t>
            </w:r>
            <w:r>
              <w:rPr>
                <w:rStyle w:val="None"/>
                <w:sz w:val="20"/>
                <w:szCs w:val="20"/>
                <w:rtl w:val="0"/>
              </w:rPr>
              <w:t xml:space="preserve">ść </w:t>
            </w:r>
            <w:r>
              <w:rPr>
                <w:rStyle w:val="None"/>
                <w:sz w:val="20"/>
                <w:szCs w:val="20"/>
                <w:rtl w:val="0"/>
              </w:rPr>
              <w:t>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zyka angielskiego</w:t>
            </w:r>
            <w:r>
              <w:rPr>
                <w:rStyle w:val="None"/>
                <w:sz w:val="20"/>
                <w:szCs w:val="20"/>
                <w:rtl w:val="0"/>
              </w:rPr>
              <w:t xml:space="preserve"> (B2+/C1)</w:t>
            </w:r>
            <w:r>
              <w:rPr>
                <w:rStyle w:val="None"/>
                <w:sz w:val="20"/>
                <w:szCs w:val="20"/>
                <w:rtl w:val="0"/>
              </w:rPr>
              <w:t xml:space="preserve">. </w:t>
            </w:r>
            <w:r>
              <w:rPr>
                <w:rStyle w:val="None"/>
                <w:sz w:val="20"/>
                <w:szCs w:val="20"/>
              </w:rPr>
              <w:br w:type="textWrapping"/>
            </w:r>
            <w:r>
              <w:rPr>
                <w:rStyle w:val="None"/>
                <w:sz w:val="20"/>
                <w:szCs w:val="20"/>
                <w:rtl w:val="0"/>
              </w:rPr>
              <w:t>2. Og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lna znajomo</w:t>
            </w:r>
            <w:r>
              <w:rPr>
                <w:rStyle w:val="None"/>
                <w:sz w:val="20"/>
                <w:szCs w:val="20"/>
                <w:rtl w:val="0"/>
              </w:rPr>
              <w:t xml:space="preserve">ść </w:t>
            </w:r>
            <w:r>
              <w:rPr>
                <w:rStyle w:val="None"/>
                <w:sz w:val="20"/>
                <w:szCs w:val="20"/>
                <w:rtl w:val="0"/>
              </w:rPr>
              <w:t>kultury i literatury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 xml:space="preserve">zykowego. </w:t>
            </w:r>
            <w:r>
              <w:rPr>
                <w:rStyle w:val="None"/>
                <w:sz w:val="20"/>
                <w:szCs w:val="20"/>
              </w:rPr>
              <w:br w:type="textWrapping"/>
            </w:r>
            <w:r>
              <w:rPr>
                <w:rStyle w:val="None"/>
                <w:sz w:val="20"/>
                <w:szCs w:val="20"/>
                <w:rtl w:val="0"/>
              </w:rPr>
              <w:t>3. Og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lna znajomo</w:t>
            </w:r>
            <w:r>
              <w:rPr>
                <w:rStyle w:val="None"/>
                <w:sz w:val="20"/>
                <w:szCs w:val="20"/>
                <w:rtl w:val="0"/>
              </w:rPr>
              <w:t xml:space="preserve">ść </w:t>
            </w:r>
            <w:r>
              <w:rPr>
                <w:rStyle w:val="None"/>
                <w:sz w:val="20"/>
                <w:szCs w:val="20"/>
                <w:rtl w:val="0"/>
              </w:rPr>
              <w:t>historii kraj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 xml:space="preserve">zykowego. </w:t>
            </w:r>
          </w:p>
        </w:tc>
      </w:tr>
    </w:tbl>
    <w:p>
      <w:pPr>
        <w:pStyle w:val="Body"/>
        <w:widowControl w:val="0"/>
        <w:shd w:val="clear" w:color="auto" w:fill="ffffff"/>
        <w:spacing w:after="0" w:line="240" w:lineRule="auto"/>
        <w:ind w:left="41" w:hanging="41"/>
        <w:rPr>
          <w:sz w:val="20"/>
          <w:szCs w:val="20"/>
        </w:rPr>
      </w:pPr>
    </w:p>
    <w:p>
      <w:pPr>
        <w:pStyle w:val="Body"/>
        <w:widowControl w:val="0"/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pStyle w:val="Body"/>
        <w:shd w:val="clear" w:color="auto" w:fill="ffffff"/>
        <w:spacing w:after="0"/>
        <w:rPr>
          <w:sz w:val="20"/>
          <w:szCs w:val="20"/>
        </w:rPr>
      </w:pPr>
    </w:p>
    <w:p>
      <w:pPr>
        <w:pStyle w:val="Body"/>
        <w:shd w:val="clear" w:color="auto" w:fill="ffffff"/>
        <w:spacing w:after="0"/>
        <w:rPr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ind w:right="0"/>
        <w:jc w:val="left"/>
        <w:rPr>
          <w:b w:val="1"/>
          <w:bCs w:val="1"/>
          <w:sz w:val="20"/>
          <w:szCs w:val="20"/>
          <w:rtl w:val="0"/>
        </w:rPr>
      </w:pPr>
      <w:r>
        <w:rPr>
          <w:rStyle w:val="None"/>
          <w:b w:val="1"/>
          <w:bCs w:val="1"/>
          <w:sz w:val="20"/>
          <w:szCs w:val="20"/>
          <w:rtl w:val="0"/>
        </w:rPr>
        <w:t>Cele kszta</w:t>
      </w:r>
      <w:r>
        <w:rPr>
          <w:rStyle w:val="None"/>
          <w:b w:val="1"/>
          <w:bCs w:val="1"/>
          <w:sz w:val="20"/>
          <w:szCs w:val="20"/>
          <w:rtl w:val="0"/>
        </w:rPr>
        <w:t>ł</w:t>
      </w:r>
      <w:r>
        <w:rPr>
          <w:rStyle w:val="None"/>
          <w:b w:val="1"/>
          <w:bCs w:val="1"/>
          <w:sz w:val="20"/>
          <w:szCs w:val="20"/>
          <w:rtl w:val="0"/>
        </w:rPr>
        <w:t xml:space="preserve">cenia dla przedmiotu </w:t>
      </w:r>
    </w:p>
    <w:tbl>
      <w:tblPr>
        <w:tblW w:w="9212" w:type="dxa"/>
        <w:jc w:val="left"/>
        <w:tblInd w:w="1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C1 Umiej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tno</w:t>
            </w:r>
            <w:r>
              <w:rPr>
                <w:rStyle w:val="None"/>
                <w:sz w:val="20"/>
                <w:szCs w:val="20"/>
                <w:rtl w:val="0"/>
              </w:rPr>
              <w:t xml:space="preserve">ść </w:t>
            </w:r>
            <w:r>
              <w:rPr>
                <w:rStyle w:val="None"/>
                <w:sz w:val="20"/>
                <w:szCs w:val="20"/>
                <w:rtl w:val="0"/>
              </w:rPr>
              <w:t>analizy i interpretacji 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 xml:space="preserve">zykowego. 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1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C2 Przygotowanie metodologiczne i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zykowe do analizy 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kultury (literatury, sztuki, filmu, blog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w, reklam, medi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spo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eczno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 xml:space="preserve">ciowych).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C3 Poznanie 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zykowego.</w:t>
            </w:r>
          </w:p>
        </w:tc>
      </w:tr>
    </w:tbl>
    <w:p>
      <w:pPr>
        <w:pStyle w:val="List Paragraph"/>
        <w:widowControl w:val="0"/>
        <w:numPr>
          <w:ilvl w:val="0"/>
          <w:numId w:val="7"/>
        </w:numPr>
        <w:shd w:val="clear" w:color="auto" w:fill="ffffff"/>
        <w:spacing w:line="240" w:lineRule="auto"/>
      </w:pPr>
    </w:p>
    <w:p>
      <w:pPr>
        <w:pStyle w:val="List Paragraph"/>
        <w:widowControl w:val="0"/>
        <w:shd w:val="clear" w:color="auto" w:fill="ffffff"/>
        <w:spacing w:line="240" w:lineRule="auto"/>
        <w:ind w:left="1800" w:firstLine="0"/>
        <w:rPr>
          <w:sz w:val="20"/>
          <w:szCs w:val="20"/>
        </w:rPr>
      </w:pPr>
    </w:p>
    <w:p>
      <w:pPr>
        <w:pStyle w:val="Body"/>
        <w:shd w:val="clear" w:color="auto" w:fill="ffffff"/>
        <w:spacing w:after="0"/>
        <w:rPr>
          <w:sz w:val="20"/>
          <w:szCs w:val="20"/>
        </w:rPr>
      </w:pPr>
    </w:p>
    <w:p>
      <w:pPr>
        <w:pStyle w:val="Body"/>
        <w:shd w:val="clear" w:color="auto" w:fill="ffffff"/>
      </w:pPr>
      <w:r>
        <w:br w:type="page"/>
      </w:r>
    </w:p>
    <w:p>
      <w:pPr>
        <w:pStyle w:val="Body"/>
        <w:shd w:val="clear" w:color="auto" w:fill="ffffff"/>
        <w:spacing w:after="0"/>
        <w:rPr>
          <w:sz w:val="20"/>
          <w:szCs w:val="20"/>
        </w:rPr>
      </w:pP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ind w:right="0"/>
        <w:jc w:val="left"/>
        <w:rPr>
          <w:b w:val="1"/>
          <w:bCs w:val="1"/>
          <w:sz w:val="20"/>
          <w:szCs w:val="20"/>
          <w:rtl w:val="0"/>
        </w:rPr>
      </w:pPr>
      <w:r>
        <w:rPr>
          <w:rStyle w:val="None"/>
          <w:b w:val="1"/>
          <w:bCs w:val="1"/>
          <w:sz w:val="20"/>
          <w:szCs w:val="20"/>
          <w:rtl w:val="0"/>
        </w:rPr>
        <w:t>Efekty uczenia si</w:t>
      </w:r>
      <w:r>
        <w:rPr>
          <w:rStyle w:val="None"/>
          <w:b w:val="1"/>
          <w:bCs w:val="1"/>
          <w:sz w:val="20"/>
          <w:szCs w:val="20"/>
          <w:rtl w:val="0"/>
        </w:rPr>
        <w:t xml:space="preserve">ę </w:t>
      </w:r>
      <w:r>
        <w:rPr>
          <w:rStyle w:val="None"/>
          <w:b w:val="1"/>
          <w:bCs w:val="1"/>
          <w:sz w:val="20"/>
          <w:szCs w:val="20"/>
          <w:rtl w:val="0"/>
        </w:rPr>
        <w:t>dla przedmiotu wraz z odniesieniem do efekt</w:t>
      </w:r>
      <w:r>
        <w:rPr>
          <w:rStyle w:val="None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one"/>
          <w:b w:val="1"/>
          <w:bCs w:val="1"/>
          <w:sz w:val="20"/>
          <w:szCs w:val="20"/>
          <w:rtl w:val="0"/>
        </w:rPr>
        <w:t>w kierunkowych</w:t>
      </w:r>
    </w:p>
    <w:tbl>
      <w:tblPr>
        <w:tblW w:w="9066" w:type="dxa"/>
        <w:jc w:val="left"/>
        <w:tblInd w:w="1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3"/>
        <w:gridCol w:w="5858"/>
        <w:gridCol w:w="2125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Symbol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Opis efektu przedmiotowego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Odniesienie do efektu kierunkowego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066"/>
            <w:gridSpan w:val="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WIEDZA</w:t>
            </w:r>
          </w:p>
        </w:tc>
      </w:tr>
      <w:tr>
        <w:tblPrEx>
          <w:shd w:val="clear" w:color="auto" w:fill="ced7e7"/>
        </w:tblPrEx>
        <w:trPr>
          <w:trHeight w:val="2016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W_01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Student orientuje si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we wsp</w:t>
            </w:r>
            <w:r>
              <w:rPr>
                <w:rStyle w:val="None"/>
                <w:sz w:val="20"/>
                <w:szCs w:val="20"/>
                <w:rtl w:val="0"/>
              </w:rPr>
              <w:t>ół</w:t>
            </w:r>
            <w:r>
              <w:rPr>
                <w:rStyle w:val="None"/>
                <w:sz w:val="20"/>
                <w:szCs w:val="20"/>
                <w:rtl w:val="0"/>
              </w:rPr>
              <w:t xml:space="preserve">czesnym </w:t>
            </w:r>
            <w:r>
              <w:rPr>
                <w:rStyle w:val="None"/>
                <w:sz w:val="20"/>
                <w:szCs w:val="20"/>
                <w:rtl w:val="0"/>
              </w:rPr>
              <w:t>ż</w:t>
            </w:r>
            <w:r>
              <w:rPr>
                <w:rStyle w:val="None"/>
                <w:sz w:val="20"/>
                <w:szCs w:val="20"/>
                <w:rtl w:val="0"/>
              </w:rPr>
              <w:t>yciu kulturalnym odnosz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cym si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  <w:lang w:val="pt-PT"/>
              </w:rPr>
              <w:t>do 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nych wytwor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zykowego: rozpoznaje instytucje zwi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zane z kultywowaniem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zyka i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zykowego oraz opisuje chronologi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historii wsp</w:t>
            </w:r>
            <w:r>
              <w:rPr>
                <w:rStyle w:val="None"/>
                <w:sz w:val="20"/>
                <w:szCs w:val="20"/>
                <w:rtl w:val="0"/>
              </w:rPr>
              <w:t>ół</w:t>
            </w:r>
            <w:r>
              <w:rPr>
                <w:rStyle w:val="None"/>
                <w:sz w:val="20"/>
                <w:szCs w:val="20"/>
                <w:rtl w:val="0"/>
              </w:rPr>
              <w:t>czesnej literatury i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 xml:space="preserve">zykowego.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K_W02, K_W07, K_W08,</w:t>
            </w:r>
          </w:p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W_02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Student charakteryzuje szczeg</w:t>
            </w:r>
            <w:r>
              <w:rPr>
                <w:rStyle w:val="None"/>
                <w:sz w:val="20"/>
                <w:szCs w:val="20"/>
                <w:rtl w:val="0"/>
              </w:rPr>
              <w:t>ół</w:t>
            </w:r>
            <w:r>
              <w:rPr>
                <w:rStyle w:val="None"/>
                <w:sz w:val="20"/>
                <w:szCs w:val="20"/>
                <w:rtl w:val="0"/>
              </w:rPr>
              <w:t>owe zagadnienia z wybranych teorii wykorzystywanych podczas kursu (teorii antropologicznych, kulturowych, spo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ecznych itp.) oraz rozr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nia zaawansowane metody analizy i interpretacji 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kultury w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ciwe dla wybranych tradycji, teorii i szk</w:t>
            </w:r>
            <w:r>
              <w:rPr>
                <w:rStyle w:val="None"/>
                <w:sz w:val="20"/>
                <w:szCs w:val="20"/>
                <w:rtl w:val="0"/>
              </w:rPr>
              <w:t xml:space="preserve">ół </w:t>
            </w:r>
            <w:r>
              <w:rPr>
                <w:rStyle w:val="None"/>
                <w:sz w:val="20"/>
                <w:szCs w:val="20"/>
                <w:rtl w:val="0"/>
              </w:rPr>
              <w:t>badawczych we wsp</w:t>
            </w:r>
            <w:r>
              <w:rPr>
                <w:rStyle w:val="None"/>
                <w:sz w:val="20"/>
                <w:szCs w:val="20"/>
                <w:rtl w:val="0"/>
              </w:rPr>
              <w:t>ół</w:t>
            </w:r>
            <w:r>
              <w:rPr>
                <w:rStyle w:val="None"/>
                <w:sz w:val="20"/>
                <w:szCs w:val="20"/>
                <w:rtl w:val="0"/>
              </w:rPr>
              <w:t xml:space="preserve">czesnym literaturoznawstwie.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K_W01, K_W02, K_W07, K_W08, K_W09</w:t>
            </w:r>
          </w:p>
        </w:tc>
      </w:tr>
      <w:tr>
        <w:tblPrEx>
          <w:shd w:val="clear" w:color="auto" w:fill="ced7e7"/>
        </w:tblPrEx>
        <w:trPr>
          <w:trHeight w:val="1326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W_03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Student rozpoznaje 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ne rejestry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zyka, w tym rejestr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zyka akademickiego oraz identyfikuje angloj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zyczn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</w:t>
            </w:r>
            <w:r>
              <w:rPr>
                <w:rStyle w:val="None"/>
                <w:sz w:val="20"/>
                <w:szCs w:val="20"/>
                <w:rtl w:val="0"/>
                <w:lang w:val="it-IT"/>
              </w:rPr>
              <w:t>terminologi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potrzebn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</w:t>
            </w:r>
            <w:r>
              <w:rPr>
                <w:rStyle w:val="None"/>
                <w:sz w:val="20"/>
                <w:szCs w:val="20"/>
                <w:rtl w:val="0"/>
              </w:rPr>
              <w:t>do opisu, analizy i interpretacji 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 xml:space="preserve">w literackich oraz audiowizualnych.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K_W01, K_W02, K_W07, K_W08</w:t>
            </w:r>
          </w:p>
        </w:tc>
      </w:tr>
      <w:tr>
        <w:tblPrEx>
          <w:shd w:val="clear" w:color="auto" w:fill="ced7e7"/>
        </w:tblPrEx>
        <w:trPr>
          <w:trHeight w:val="1488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W_04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</w:rPr>
              <w:t>Student rozr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nia instytucje zwi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zane z kultywowaniem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zyka i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zykowego oraz wyja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nia spo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eczno-historyczne i kulturowe procesy, kt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re wp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ywaj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</w:t>
            </w:r>
            <w:r>
              <w:rPr>
                <w:rStyle w:val="None"/>
                <w:sz w:val="20"/>
                <w:szCs w:val="20"/>
                <w:rtl w:val="0"/>
              </w:rPr>
              <w:t>na rozumienie i kszta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towanie 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 xml:space="preserve">w kultury.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</w:rPr>
              <w:t>K_W01, K_W10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066"/>
            <w:gridSpan w:val="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  <w:lang w:val="fr-FR"/>
              </w:rPr>
              <w:t>UMIEJ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TNO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1242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U_01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Student wyszukuje, analizuje, ocenia, selekcjonuje i integruje informacje z wykorzystaniem 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 xml:space="preserve">nych </w:t>
            </w:r>
            <w:r>
              <w:rPr>
                <w:rStyle w:val="None"/>
                <w:sz w:val="20"/>
                <w:szCs w:val="20"/>
                <w:rtl w:val="0"/>
              </w:rPr>
              <w:t>ź</w:t>
            </w:r>
            <w:r>
              <w:rPr>
                <w:rStyle w:val="None"/>
                <w:sz w:val="20"/>
                <w:szCs w:val="20"/>
                <w:rtl w:val="0"/>
              </w:rPr>
              <w:t>r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de</w:t>
            </w:r>
            <w:r>
              <w:rPr>
                <w:rStyle w:val="None"/>
                <w:sz w:val="20"/>
                <w:szCs w:val="20"/>
                <w:rtl w:val="0"/>
              </w:rPr>
              <w:t xml:space="preserve">ł </w:t>
            </w:r>
            <w:r>
              <w:rPr>
                <w:rStyle w:val="None"/>
                <w:sz w:val="20"/>
                <w:szCs w:val="20"/>
                <w:rtl w:val="0"/>
              </w:rPr>
              <w:t>oraz formu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uje na tej podstawie krytyczne s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dy. Podczas zaj</w:t>
            </w:r>
            <w:r>
              <w:rPr>
                <w:rStyle w:val="None"/>
                <w:sz w:val="20"/>
                <w:szCs w:val="20"/>
                <w:rtl w:val="0"/>
              </w:rPr>
              <w:t xml:space="preserve">ęć </w:t>
            </w:r>
            <w:r>
              <w:rPr>
                <w:rStyle w:val="None"/>
                <w:sz w:val="20"/>
                <w:szCs w:val="20"/>
                <w:rtl w:val="0"/>
              </w:rPr>
              <w:t>student dokonuje krytycznej analizy 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 xml:space="preserve">w kultury w oparciu o wybrane zagadnienia teoretyczne.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K_U05, K_U06</w:t>
            </w:r>
          </w:p>
        </w:tc>
      </w:tr>
      <w:tr>
        <w:tblPrEx>
          <w:shd w:val="clear" w:color="auto" w:fill="ced7e7"/>
        </w:tblPrEx>
        <w:trPr>
          <w:trHeight w:val="2001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U_02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</w:rPr>
              <w:t>Student precyzyjnie i poprawnie logicznie i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zykowo wyra</w:t>
            </w:r>
            <w:r>
              <w:rPr>
                <w:rStyle w:val="None"/>
                <w:sz w:val="20"/>
                <w:szCs w:val="20"/>
                <w:rtl w:val="0"/>
              </w:rPr>
              <w:t>ż</w:t>
            </w:r>
            <w:r>
              <w:rPr>
                <w:rStyle w:val="None"/>
                <w:sz w:val="20"/>
                <w:szCs w:val="20"/>
                <w:rtl w:val="0"/>
              </w:rPr>
              <w:t>a swoje my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li i pogl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dy na temat wybranych 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kultury, kojarzy zjawiska literackie z faktami historycznymi i kulturowymi. Student przedstawia w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asne pogl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dy o wytworze kultury w ramach wypowiedzi ustnej, argumentuj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c na rzecz proponowanej przez siebie interpretacji. W wypowiedzi stosuje 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ne rejestry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zyka na poziomie zaawansowanym w tym rejestr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zyka akademickiego.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K_U05, K_U06, K_U09, K_U10</w:t>
            </w:r>
          </w:p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U_03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Student posiada pog</w:t>
            </w:r>
            <w:r>
              <w:rPr>
                <w:rStyle w:val="None"/>
                <w:sz w:val="20"/>
                <w:szCs w:val="20"/>
                <w:rtl w:val="0"/>
              </w:rPr>
              <w:t>łę</w:t>
            </w:r>
            <w:r>
              <w:rPr>
                <w:rStyle w:val="None"/>
                <w:sz w:val="20"/>
                <w:szCs w:val="20"/>
                <w:rtl w:val="0"/>
              </w:rPr>
              <w:t>bione umiej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tno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 badawcze, obejmuj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  <w:lang w:val="it-IT"/>
              </w:rPr>
              <w:t>ce analiz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prac innych autor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  <w:lang w:val="da-DK"/>
              </w:rPr>
              <w:t>w, syntez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nych idei i pogl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d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w. Student analizuje i wykazuje wp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yw proces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spo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ecznych oraz kulturowych na rozumienie i reprezentowanie 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nych problem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w tekstach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zykowego.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K_U05, K_U13</w:t>
            </w:r>
          </w:p>
        </w:tc>
      </w:tr>
      <w:tr>
        <w:tblPrEx>
          <w:shd w:val="clear" w:color="auto" w:fill="ced7e7"/>
        </w:tblPrEx>
        <w:trPr>
          <w:trHeight w:val="989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U_04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Student dobiera metody oraz konstruuje narz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dzia badawcze pozwalaj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ce na analiz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kultury. Dokonuj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c analizy student wykazuje powi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zania miedzy literatur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/ kultur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</w:t>
            </w:r>
            <w:r>
              <w:rPr>
                <w:rStyle w:val="None"/>
                <w:sz w:val="20"/>
                <w:szCs w:val="20"/>
                <w:rtl w:val="0"/>
              </w:rPr>
              <w:t xml:space="preserve">a dziedzinami takimi jak antropologia, historia, czy socjologia.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fr-FR"/>
              </w:rPr>
              <w:t xml:space="preserve">K_U08, 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U_05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Student podejmuje dzia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ania zmierzaj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ce do rozwijania zdolno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 i kierowania w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asn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</w:t>
            </w:r>
            <w:r>
              <w:rPr>
                <w:rStyle w:val="None"/>
                <w:sz w:val="20"/>
                <w:szCs w:val="20"/>
                <w:rtl w:val="0"/>
              </w:rPr>
              <w:t>karier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</w:t>
            </w:r>
            <w:r>
              <w:rPr>
                <w:rStyle w:val="None"/>
                <w:sz w:val="20"/>
                <w:szCs w:val="20"/>
                <w:rtl w:val="0"/>
              </w:rPr>
              <w:t>zawodow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– </w:t>
            </w:r>
            <w:r>
              <w:rPr>
                <w:rStyle w:val="None"/>
                <w:sz w:val="20"/>
                <w:szCs w:val="20"/>
                <w:rtl w:val="0"/>
              </w:rPr>
              <w:t>samodzielnie zdobywa wiedz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i poszerza umiej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tno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 xml:space="preserve">ci badawcze.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K_U09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066"/>
            <w:gridSpan w:val="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KOMPETENCJE SPO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  <w:lang w:val="de-DE"/>
              </w:rPr>
              <w:t>ECZNE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K_01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Student organizuje dzia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anie innych jak i w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 xml:space="preserve">asne, organizuje samodzielnie wydarzenia naukowe i kulturalne.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K_K05, K_K10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K_02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Student formu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 xml:space="preserve">uje krytyczne opinie o tekstach kultury.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</w:rPr>
              <w:t>K_K02,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08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K_03</w:t>
            </w:r>
          </w:p>
        </w:tc>
        <w:tc>
          <w:tcPr>
            <w:tcW w:type="dxa" w:w="585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Student uzasadnia znaczenie kszta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 xml:space="preserve">towania 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wiadomo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  <w:lang w:val="it-IT"/>
              </w:rPr>
              <w:t>ci 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norodno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 tekst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 xml:space="preserve">zykowego. </w:t>
            </w:r>
          </w:p>
        </w:tc>
        <w:tc>
          <w:tcPr>
            <w:tcW w:type="dxa" w:w="21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 K_K09</w:t>
            </w:r>
          </w:p>
        </w:tc>
      </w:tr>
    </w:tbl>
    <w:p>
      <w:pPr>
        <w:pStyle w:val="List Paragraph"/>
        <w:widowControl w:val="0"/>
        <w:numPr>
          <w:ilvl w:val="0"/>
          <w:numId w:val="11"/>
        </w:numPr>
        <w:shd w:val="clear" w:color="auto" w:fill="ffffff"/>
        <w:spacing w:line="240" w:lineRule="auto"/>
      </w:pPr>
    </w:p>
    <w:p>
      <w:pPr>
        <w:pStyle w:val="List Paragraph"/>
        <w:numPr>
          <w:ilvl w:val="0"/>
          <w:numId w:val="14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Opis przedmiotu/ tre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ś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ci programowe</w:t>
      </w:r>
    </w:p>
    <w:tbl>
      <w:tblPr>
        <w:tblW w:w="9212" w:type="dxa"/>
        <w:jc w:val="left"/>
        <w:tblInd w:w="1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3970" w:hRule="atLeast"/>
        </w:trPr>
        <w:tc>
          <w:tcPr>
            <w:tcW w:type="dxa" w:w="921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</w:rPr>
              <w:t>W trakcie zaj</w:t>
            </w:r>
            <w:r>
              <w:rPr>
                <w:rStyle w:val="None"/>
                <w:sz w:val="20"/>
                <w:szCs w:val="20"/>
                <w:rtl w:val="0"/>
              </w:rPr>
              <w:t xml:space="preserve">ęć </w:t>
            </w:r>
            <w:r>
              <w:rPr>
                <w:rStyle w:val="None"/>
                <w:sz w:val="20"/>
                <w:szCs w:val="20"/>
                <w:rtl w:val="0"/>
              </w:rPr>
              <w:t>b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dziemy analizowa</w:t>
            </w:r>
            <w:r>
              <w:rPr>
                <w:rStyle w:val="None"/>
                <w:sz w:val="20"/>
                <w:szCs w:val="20"/>
                <w:rtl w:val="0"/>
              </w:rPr>
              <w:t xml:space="preserve">ć </w:t>
            </w:r>
            <w:r>
              <w:rPr>
                <w:rStyle w:val="None"/>
                <w:sz w:val="20"/>
                <w:szCs w:val="20"/>
                <w:rtl w:val="0"/>
              </w:rPr>
              <w:t>teksty kultury angielskiego obszaru 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zykowego za pomoc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</w:t>
            </w:r>
            <w:r>
              <w:rPr>
                <w:rStyle w:val="None"/>
                <w:sz w:val="20"/>
                <w:szCs w:val="20"/>
                <w:rtl w:val="0"/>
              </w:rPr>
              <w:t>wsp</w:t>
            </w:r>
            <w:r>
              <w:rPr>
                <w:rStyle w:val="None"/>
                <w:sz w:val="20"/>
                <w:szCs w:val="20"/>
                <w:rtl w:val="0"/>
              </w:rPr>
              <w:t>ół</w:t>
            </w:r>
            <w:r>
              <w:rPr>
                <w:rStyle w:val="None"/>
                <w:sz w:val="20"/>
                <w:szCs w:val="20"/>
                <w:rtl w:val="0"/>
              </w:rPr>
              <w:t>czesnych teorii kultury i medi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w. Zajmiemy si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okre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leniem miejsca i znaczenia wytwor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kultury z zakresu literatury, sztuki, filmu, telewizji, blog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w, reklam, medi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spo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eczno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ciowych. B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dziemy chcieli przyjrze</w:t>
            </w:r>
            <w:r>
              <w:rPr>
                <w:rStyle w:val="None"/>
                <w:sz w:val="20"/>
                <w:szCs w:val="20"/>
                <w:rtl w:val="0"/>
              </w:rPr>
              <w:t xml:space="preserve">ć </w:t>
            </w:r>
            <w:r>
              <w:rPr>
                <w:rStyle w:val="None"/>
                <w:sz w:val="20"/>
                <w:szCs w:val="20"/>
                <w:rtl w:val="0"/>
              </w:rPr>
              <w:t>si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temu w jaki spos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b 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ne media przekazuj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</w:t>
            </w:r>
            <w:r>
              <w:rPr>
                <w:rStyle w:val="None"/>
                <w:sz w:val="20"/>
                <w:szCs w:val="20"/>
                <w:rtl w:val="0"/>
              </w:rPr>
              <w:t>dane tre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 xml:space="preserve">ci, co wynika z </w:t>
            </w:r>
            <w:r>
              <w:rPr>
                <w:rStyle w:val="None"/>
                <w:sz w:val="20"/>
                <w:szCs w:val="20"/>
                <w:rtl w:val="0"/>
              </w:rPr>
              <w:t>łą</w:t>
            </w:r>
            <w:r>
              <w:rPr>
                <w:rStyle w:val="None"/>
                <w:sz w:val="20"/>
                <w:szCs w:val="20"/>
                <w:rtl w:val="0"/>
              </w:rPr>
              <w:t>czenia medi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o r</w:t>
            </w:r>
            <w:r>
              <w:rPr>
                <w:rStyle w:val="None"/>
                <w:sz w:val="20"/>
                <w:szCs w:val="20"/>
                <w:rtl w:val="0"/>
              </w:rPr>
              <w:t>óż</w:t>
            </w:r>
            <w:r>
              <w:rPr>
                <w:rStyle w:val="None"/>
                <w:sz w:val="20"/>
                <w:szCs w:val="20"/>
                <w:rtl w:val="0"/>
              </w:rPr>
              <w:t>nej charakterystyce oraz jak mo</w:t>
            </w:r>
            <w:r>
              <w:rPr>
                <w:rStyle w:val="None"/>
                <w:sz w:val="20"/>
                <w:szCs w:val="20"/>
                <w:rtl w:val="0"/>
              </w:rPr>
              <w:t>ż</w:t>
            </w:r>
            <w:r>
              <w:rPr>
                <w:rStyle w:val="None"/>
                <w:sz w:val="20"/>
                <w:szCs w:val="20"/>
                <w:rtl w:val="0"/>
              </w:rPr>
              <w:t>na manipulowa</w:t>
            </w:r>
            <w:r>
              <w:rPr>
                <w:rStyle w:val="None"/>
                <w:sz w:val="20"/>
                <w:szCs w:val="20"/>
                <w:rtl w:val="0"/>
              </w:rPr>
              <w:t xml:space="preserve">ć </w:t>
            </w:r>
            <w:r>
              <w:rPr>
                <w:rStyle w:val="None"/>
                <w:sz w:val="20"/>
                <w:szCs w:val="20"/>
                <w:rtl w:val="0"/>
              </w:rPr>
              <w:t>tre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</w:t>
            </w:r>
            <w:r>
              <w:rPr>
                <w:rStyle w:val="None"/>
                <w:sz w:val="20"/>
                <w:szCs w:val="20"/>
                <w:rtl w:val="0"/>
              </w:rPr>
              <w:t xml:space="preserve">ą </w:t>
            </w:r>
            <w:r>
              <w:rPr>
                <w:rStyle w:val="None"/>
                <w:sz w:val="20"/>
                <w:szCs w:val="20"/>
                <w:rtl w:val="0"/>
              </w:rPr>
              <w:t>w zale</w:t>
            </w:r>
            <w:r>
              <w:rPr>
                <w:rStyle w:val="None"/>
                <w:sz w:val="20"/>
                <w:szCs w:val="20"/>
                <w:rtl w:val="0"/>
              </w:rPr>
              <w:t>ż</w:t>
            </w:r>
            <w:r>
              <w:rPr>
                <w:rStyle w:val="None"/>
                <w:sz w:val="20"/>
                <w:szCs w:val="20"/>
                <w:rtl w:val="0"/>
              </w:rPr>
              <w:t>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 od wybranego medium. Lista poruszanych temat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w uwzgl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dnia, lecz nie ogranicza si</w:t>
            </w:r>
            <w:r>
              <w:rPr>
                <w:rStyle w:val="None"/>
                <w:sz w:val="20"/>
                <w:szCs w:val="20"/>
                <w:rtl w:val="0"/>
              </w:rPr>
              <w:t xml:space="preserve">ę </w:t>
            </w:r>
            <w:r>
              <w:rPr>
                <w:rStyle w:val="None"/>
                <w:sz w:val="20"/>
                <w:szCs w:val="20"/>
                <w:rtl w:val="0"/>
              </w:rPr>
              <w:t>do nast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puj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cych zagadnie</w:t>
            </w:r>
            <w:r>
              <w:rPr>
                <w:rStyle w:val="None"/>
                <w:sz w:val="20"/>
                <w:szCs w:val="20"/>
                <w:rtl w:val="0"/>
              </w:rPr>
              <w:t>ń</w:t>
            </w:r>
            <w:r>
              <w:rPr>
                <w:rStyle w:val="None"/>
                <w:sz w:val="20"/>
                <w:szCs w:val="20"/>
                <w:rtl w:val="0"/>
              </w:rPr>
              <w:t>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</w:rPr>
              <w:t>- zdefiniowania kultury, tekstu kultury, medium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fr-FR"/>
              </w:rPr>
              <w:t>- convergence culture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- intertextuality, intermedia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- forensic imagination, detective stories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- society of spectacle, theatre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- social media, TV news, memes,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- cabinet of curiosities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- graphic novel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- YA fiction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0"/>
                <w:szCs w:val="20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it-IT"/>
              </w:rPr>
              <w:t>- utopia, dystopia, antiutopia (re)mediated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- forms of myth</w:t>
            </w:r>
          </w:p>
        </w:tc>
      </w:tr>
    </w:tbl>
    <w:p>
      <w:pPr>
        <w:pStyle w:val="List Paragraph"/>
        <w:widowControl w:val="0"/>
        <w:numPr>
          <w:ilvl w:val="0"/>
          <w:numId w:val="15"/>
        </w:numPr>
        <w:shd w:val="clear" w:color="auto" w:fill="ffffff"/>
        <w:spacing w:line="240" w:lineRule="auto"/>
      </w:pPr>
    </w:p>
    <w:p>
      <w:pPr>
        <w:pStyle w:val="List Paragraph"/>
        <w:numPr>
          <w:ilvl w:val="0"/>
          <w:numId w:val="18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Metody realizacji i weryfikacji efekt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w uczenia si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ę</w:t>
      </w:r>
    </w:p>
    <w:tbl>
      <w:tblPr>
        <w:tblW w:w="9055" w:type="dxa"/>
        <w:jc w:val="left"/>
        <w:tblInd w:w="1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2"/>
        <w:gridCol w:w="2647"/>
        <w:gridCol w:w="2787"/>
        <w:gridCol w:w="2539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Symbol efektu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</w:rPr>
              <w:t>Metody dydaktyczne</w:t>
            </w:r>
          </w:p>
          <w:p>
            <w:pPr>
              <w:pStyle w:val="Body"/>
              <w:shd w:val="clear" w:color="auto" w:fill="ffffff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(lista wyboru)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</w:rPr>
              <w:t>Metody weryfikacji</w:t>
            </w:r>
          </w:p>
          <w:p>
            <w:pPr>
              <w:pStyle w:val="Body"/>
              <w:shd w:val="clear" w:color="auto" w:fill="ffffff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(lista wyboru)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rtl w:val="0"/>
              </w:rPr>
              <w:t>Sposoby dokumentacji</w:t>
            </w:r>
          </w:p>
          <w:p>
            <w:pPr>
              <w:pStyle w:val="Body"/>
              <w:shd w:val="clear" w:color="auto" w:fill="ffffff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  <w:t>(lista wyboru)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055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WIEDZA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W_01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praca z tekstami kultury, mini-wyk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ad konwersatoryjny, dyskusja, metoda metaplanu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Obserwacja,</w:t>
            </w:r>
            <w:r>
              <w:rPr>
                <w:rStyle w:val="None"/>
                <w:outline w:val="0"/>
                <w:color w:val="c0504d"/>
                <w:sz w:val="20"/>
                <w:szCs w:val="20"/>
                <w:rtl w:val="0"/>
                <w14:textFill>
                  <w14:solidFill>
                    <w14:srgbClr w14:val="C0504D"/>
                  </w14:solidFill>
                </w14:textFill>
              </w:rPr>
              <w:t xml:space="preserve">  </w:t>
            </w:r>
            <w:r>
              <w:rPr>
                <w:rStyle w:val="None"/>
                <w:sz w:val="20"/>
                <w:szCs w:val="20"/>
                <w:rtl w:val="0"/>
              </w:rPr>
              <w:t>prezentacja, 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 xml:space="preserve">ustna, esej 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Zapis w arkuszu ocen, plik z prezentacj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, oceniony plik z esejem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W_02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Mini-wyk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ad konwersatoryjny, praca z tekstem kultury, dyskusja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Obserwacja, prezentacja, 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>ustna, esej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Plik z prezentacj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, zapis w arkuszu ocen, oceniony plik z esejem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W_03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Praca z tekstem kultury, dyskusja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Obserwacja,</w:t>
            </w:r>
            <w:r>
              <w:rPr>
                <w:rStyle w:val="None"/>
                <w:outline w:val="0"/>
                <w:color w:val="c0504d"/>
                <w:sz w:val="20"/>
                <w:szCs w:val="20"/>
                <w:rtl w:val="0"/>
                <w14:textFill>
                  <w14:solidFill>
                    <w14:srgbClr w14:val="C0504D"/>
                  </w14:solidFill>
                </w14:textFill>
              </w:rPr>
              <w:t xml:space="preserve">  </w:t>
            </w:r>
            <w:r>
              <w:rPr>
                <w:rStyle w:val="None"/>
                <w:sz w:val="20"/>
                <w:szCs w:val="20"/>
                <w:rtl w:val="0"/>
              </w:rPr>
              <w:t>prezentacja, 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 xml:space="preserve">ustna, esej 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Zapis w arkuszu ocen, plik z prezentacj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, oceniony plik z esejem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W_04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Praca z tekstem kultury, dyskusja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Obserwacja,</w:t>
            </w:r>
            <w:r>
              <w:rPr>
                <w:rStyle w:val="None"/>
                <w:outline w:val="0"/>
                <w:color w:val="c0504d"/>
                <w:sz w:val="20"/>
                <w:szCs w:val="20"/>
                <w:rtl w:val="0"/>
                <w14:textFill>
                  <w14:solidFill>
                    <w14:srgbClr w14:val="C0504D"/>
                  </w14:solidFill>
                </w14:textFill>
              </w:rPr>
              <w:t xml:space="preserve">  </w:t>
            </w:r>
            <w:r>
              <w:rPr>
                <w:rStyle w:val="None"/>
                <w:sz w:val="20"/>
                <w:szCs w:val="20"/>
                <w:rtl w:val="0"/>
              </w:rPr>
              <w:t>prezentacja, 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 xml:space="preserve">ustna, esej 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Zapis w arkuszu ocen, plik z prezentacj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, oceniony plik z esejem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055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  <w:lang w:val="fr-FR"/>
              </w:rPr>
              <w:t>UMIEJ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TNO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U_01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Analiza tekstu kultury, dyskusja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Prezentacja, esej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Plik z esejem, plik z prezentacj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U_02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Analiza tekstu kultury, dyskusja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>ustna, obserwacja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Zapis w arkuszu ocen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U_03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Analiza tekstu kultury, dyskusja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>ustna, obserwacja, prezentacja, esej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Zapis w arkuszu ocen, plik z prezentacj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, oceniony plik z esejem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U_04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Analiza tekstu kultury, dyskusja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>ustna, obserwacja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Zapis w arkuszu ocen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U_05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Analiza tekstu kultury, dyskusja, burza m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zg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>ustna, obserwacja, prezentacja, esej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Zapis w arkuszu ocen, plik z presentacj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, plik z esejem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055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hd w:val="clear" w:color="auto" w:fill="ffffff"/>
              <w:spacing w:after="0" w:line="240" w:lineRule="auto"/>
              <w:jc w:val="center"/>
            </w:pPr>
            <w:r>
              <w:rPr>
                <w:rStyle w:val="None"/>
                <w:sz w:val="20"/>
                <w:szCs w:val="20"/>
                <w:rtl w:val="0"/>
              </w:rPr>
              <w:t>KOMPETENCJE SPO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  <w:lang w:val="de-DE"/>
              </w:rPr>
              <w:t>ECZNE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K_01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Dyskusja, rozmowa sokratyczna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>ustna, obserwacja, prezentacja, esej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Zapis w arkuszu ocen, plik z prezentacj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, oceniony plik z esejem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K_02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Dyskusja, praca w grupach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>ustna, obserwacja, prezentacja, esej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Zapis w arkuszu ocen, Plik z prezentacj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, oceniony plik z esejem</w:t>
            </w:r>
          </w:p>
        </w:tc>
      </w:tr>
      <w:tr>
        <w:tblPrEx>
          <w:shd w:val="clear" w:color="auto" w:fill="ced7e7"/>
        </w:tblPrEx>
        <w:trPr>
          <w:trHeight w:val="736" w:hRule="atLeast"/>
        </w:trPr>
        <w:tc>
          <w:tcPr>
            <w:tcW w:type="dxa" w:w="108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>K_03</w:t>
            </w:r>
          </w:p>
        </w:tc>
        <w:tc>
          <w:tcPr>
            <w:tcW w:type="dxa" w:w="26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dyskusja</w:t>
            </w:r>
          </w:p>
        </w:tc>
        <w:tc>
          <w:tcPr>
            <w:tcW w:type="dxa" w:w="2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Odpowied</w:t>
            </w:r>
            <w:r>
              <w:rPr>
                <w:rStyle w:val="None"/>
                <w:sz w:val="20"/>
                <w:szCs w:val="20"/>
                <w:rtl w:val="0"/>
              </w:rPr>
              <w:t xml:space="preserve">ź </w:t>
            </w:r>
            <w:r>
              <w:rPr>
                <w:rStyle w:val="None"/>
                <w:sz w:val="20"/>
                <w:szCs w:val="20"/>
                <w:rtl w:val="0"/>
              </w:rPr>
              <w:t>ustna, prezentacja, esej</w:t>
            </w:r>
          </w:p>
        </w:tc>
        <w:tc>
          <w:tcPr>
            <w:tcW w:type="dxa" w:w="253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Zapis w arkuszu ocen, plik z prezentacj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, oceniony plik z esejem</w:t>
            </w:r>
          </w:p>
        </w:tc>
      </w:tr>
    </w:tbl>
    <w:p>
      <w:pPr>
        <w:pStyle w:val="List Paragraph"/>
        <w:widowControl w:val="0"/>
        <w:numPr>
          <w:ilvl w:val="0"/>
          <w:numId w:val="19"/>
        </w:numPr>
        <w:shd w:val="clear" w:color="auto" w:fill="ffffff"/>
        <w:spacing w:line="240" w:lineRule="auto"/>
      </w:pPr>
    </w:p>
    <w:p>
      <w:pPr>
        <w:pStyle w:val="List Paragraph"/>
        <w:widowControl w:val="0"/>
        <w:shd w:val="clear" w:color="auto" w:fill="ffffff"/>
        <w:spacing w:line="240" w:lineRule="auto"/>
        <w:ind w:left="1800" w:firstLine="0"/>
        <w:rPr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2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Kryteria oceny, wagi</w:t>
      </w:r>
    </w:p>
    <w:p>
      <w:pPr>
        <w:pStyle w:val="Body"/>
        <w:shd w:val="clear" w:color="auto" w:fill="ffffff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 xml:space="preserve">Warunkiem uzyskania zaliczenia z </w:t>
      </w:r>
      <w:r>
        <w:rPr>
          <w:rStyle w:val="None"/>
          <w:sz w:val="20"/>
          <w:szCs w:val="20"/>
          <w:rtl w:val="0"/>
        </w:rPr>
        <w:t>ć</w:t>
      </w:r>
      <w:r>
        <w:rPr>
          <w:rStyle w:val="None"/>
          <w:sz w:val="20"/>
          <w:szCs w:val="20"/>
          <w:rtl w:val="0"/>
        </w:rPr>
        <w:t>wicze</w:t>
      </w:r>
      <w:r>
        <w:rPr>
          <w:rStyle w:val="None"/>
          <w:sz w:val="20"/>
          <w:szCs w:val="20"/>
          <w:rtl w:val="0"/>
        </w:rPr>
        <w:t xml:space="preserve">ń </w:t>
      </w:r>
      <w:r>
        <w:rPr>
          <w:rStyle w:val="None"/>
          <w:sz w:val="20"/>
          <w:szCs w:val="20"/>
          <w:rtl w:val="0"/>
        </w:rPr>
        <w:t>jest obecno</w:t>
      </w:r>
      <w:r>
        <w:rPr>
          <w:rStyle w:val="None"/>
          <w:sz w:val="20"/>
          <w:szCs w:val="20"/>
          <w:rtl w:val="0"/>
        </w:rPr>
        <w:t xml:space="preserve">ść </w:t>
      </w:r>
      <w:r>
        <w:rPr>
          <w:rStyle w:val="None"/>
          <w:sz w:val="20"/>
          <w:szCs w:val="20"/>
          <w:rtl w:val="0"/>
        </w:rPr>
        <w:t>na zaj</w:t>
      </w:r>
      <w:r>
        <w:rPr>
          <w:rStyle w:val="None"/>
          <w:sz w:val="20"/>
          <w:szCs w:val="20"/>
          <w:rtl w:val="0"/>
        </w:rPr>
        <w:t>ę</w:t>
      </w:r>
      <w:r>
        <w:rPr>
          <w:rStyle w:val="None"/>
          <w:sz w:val="20"/>
          <w:szCs w:val="20"/>
          <w:rtl w:val="0"/>
        </w:rPr>
        <w:t>ciach z mo</w:t>
      </w:r>
      <w:r>
        <w:rPr>
          <w:rStyle w:val="None"/>
          <w:sz w:val="20"/>
          <w:szCs w:val="20"/>
          <w:rtl w:val="0"/>
        </w:rPr>
        <w:t>ż</w:t>
      </w:r>
      <w:r>
        <w:rPr>
          <w:rStyle w:val="None"/>
          <w:sz w:val="20"/>
          <w:szCs w:val="20"/>
          <w:rtl w:val="0"/>
        </w:rPr>
        <w:t>liwo</w:t>
      </w:r>
      <w:r>
        <w:rPr>
          <w:rStyle w:val="None"/>
          <w:sz w:val="20"/>
          <w:szCs w:val="20"/>
          <w:rtl w:val="0"/>
        </w:rPr>
        <w:t>ś</w:t>
      </w:r>
      <w:r>
        <w:rPr>
          <w:rStyle w:val="None"/>
          <w:sz w:val="20"/>
          <w:szCs w:val="20"/>
          <w:rtl w:val="0"/>
        </w:rPr>
        <w:t>ci</w:t>
      </w:r>
      <w:r>
        <w:rPr>
          <w:rStyle w:val="None"/>
          <w:sz w:val="20"/>
          <w:szCs w:val="20"/>
          <w:rtl w:val="0"/>
        </w:rPr>
        <w:t xml:space="preserve">ą </w:t>
      </w:r>
      <w:r>
        <w:rPr>
          <w:rStyle w:val="None"/>
          <w:sz w:val="20"/>
          <w:szCs w:val="20"/>
          <w:rtl w:val="0"/>
        </w:rPr>
        <w:t>dw</w:t>
      </w:r>
      <w:r>
        <w:rPr>
          <w:rStyle w:val="None"/>
          <w:sz w:val="20"/>
          <w:szCs w:val="20"/>
          <w:rtl w:val="0"/>
          <w:lang w:val="es-ES_tradnl"/>
        </w:rPr>
        <w:t>ó</w:t>
      </w:r>
      <w:r>
        <w:rPr>
          <w:rStyle w:val="None"/>
          <w:sz w:val="20"/>
          <w:szCs w:val="20"/>
          <w:rtl w:val="0"/>
        </w:rPr>
        <w:t>ch nieobecno</w:t>
      </w:r>
      <w:r>
        <w:rPr>
          <w:rStyle w:val="None"/>
          <w:sz w:val="20"/>
          <w:szCs w:val="20"/>
          <w:rtl w:val="0"/>
        </w:rPr>
        <w:t>ś</w:t>
      </w:r>
      <w:r>
        <w:rPr>
          <w:rStyle w:val="None"/>
          <w:sz w:val="20"/>
          <w:szCs w:val="20"/>
          <w:rtl w:val="0"/>
        </w:rPr>
        <w:t>ci nieusprawiedliwionych. Pod uwag</w:t>
      </w:r>
      <w:r>
        <w:rPr>
          <w:rStyle w:val="None"/>
          <w:sz w:val="20"/>
          <w:szCs w:val="20"/>
          <w:rtl w:val="0"/>
        </w:rPr>
        <w:t xml:space="preserve">ę </w:t>
      </w:r>
      <w:r>
        <w:rPr>
          <w:rStyle w:val="None"/>
          <w:sz w:val="20"/>
          <w:szCs w:val="20"/>
          <w:rtl w:val="0"/>
        </w:rPr>
        <w:t>brany jest aktywny udzia</w:t>
      </w:r>
      <w:r>
        <w:rPr>
          <w:rStyle w:val="None"/>
          <w:sz w:val="20"/>
          <w:szCs w:val="20"/>
          <w:rtl w:val="0"/>
        </w:rPr>
        <w:t xml:space="preserve">ł </w:t>
      </w:r>
      <w:r>
        <w:rPr>
          <w:rStyle w:val="None"/>
          <w:sz w:val="20"/>
          <w:szCs w:val="20"/>
          <w:rtl w:val="0"/>
        </w:rPr>
        <w:t>w zaj</w:t>
      </w:r>
      <w:r>
        <w:rPr>
          <w:rStyle w:val="None"/>
          <w:sz w:val="20"/>
          <w:szCs w:val="20"/>
          <w:rtl w:val="0"/>
        </w:rPr>
        <w:t>ę</w:t>
      </w:r>
      <w:r>
        <w:rPr>
          <w:rStyle w:val="None"/>
          <w:sz w:val="20"/>
          <w:szCs w:val="20"/>
          <w:rtl w:val="0"/>
        </w:rPr>
        <w:t>ciach oraz przygotowanie do zaj</w:t>
      </w:r>
      <w:r>
        <w:rPr>
          <w:rStyle w:val="None"/>
          <w:sz w:val="20"/>
          <w:szCs w:val="20"/>
          <w:rtl w:val="0"/>
        </w:rPr>
        <w:t xml:space="preserve">ęć </w:t>
      </w:r>
      <w:r>
        <w:rPr>
          <w:rStyle w:val="None"/>
          <w:sz w:val="20"/>
          <w:szCs w:val="20"/>
          <w:rtl w:val="0"/>
        </w:rPr>
        <w:t>poprzez czytanie zadanego materia</w:t>
      </w:r>
      <w:r>
        <w:rPr>
          <w:rStyle w:val="None"/>
          <w:sz w:val="20"/>
          <w:szCs w:val="20"/>
          <w:rtl w:val="0"/>
        </w:rPr>
        <w:t>ł</w:t>
      </w:r>
      <w:r>
        <w:rPr>
          <w:rStyle w:val="None"/>
          <w:sz w:val="20"/>
          <w:szCs w:val="20"/>
          <w:rtl w:val="0"/>
        </w:rPr>
        <w:t>u (20% oceny). Ka</w:t>
      </w:r>
      <w:r>
        <w:rPr>
          <w:rStyle w:val="None"/>
          <w:sz w:val="20"/>
          <w:szCs w:val="20"/>
          <w:rtl w:val="0"/>
        </w:rPr>
        <w:t>ż</w:t>
      </w:r>
      <w:r>
        <w:rPr>
          <w:rStyle w:val="None"/>
          <w:sz w:val="20"/>
          <w:szCs w:val="20"/>
          <w:rtl w:val="0"/>
        </w:rPr>
        <w:t>dy student przygotowuje kr</w:t>
      </w:r>
      <w:r>
        <w:rPr>
          <w:rStyle w:val="None"/>
          <w:sz w:val="20"/>
          <w:szCs w:val="20"/>
          <w:rtl w:val="0"/>
          <w:lang w:val="es-ES_tradnl"/>
        </w:rPr>
        <w:t>ó</w:t>
      </w:r>
      <w:r>
        <w:rPr>
          <w:rStyle w:val="None"/>
          <w:sz w:val="20"/>
          <w:szCs w:val="20"/>
          <w:rtl w:val="0"/>
        </w:rPr>
        <w:t>tk</w:t>
      </w:r>
      <w:r>
        <w:rPr>
          <w:rStyle w:val="None"/>
          <w:sz w:val="20"/>
          <w:szCs w:val="20"/>
          <w:rtl w:val="0"/>
        </w:rPr>
        <w:t xml:space="preserve">ą </w:t>
      </w:r>
      <w:r>
        <w:rPr>
          <w:rStyle w:val="None"/>
          <w:sz w:val="20"/>
          <w:szCs w:val="20"/>
          <w:rtl w:val="0"/>
        </w:rPr>
        <w:t>prezentacj</w:t>
      </w:r>
      <w:r>
        <w:rPr>
          <w:rStyle w:val="None"/>
          <w:sz w:val="20"/>
          <w:szCs w:val="20"/>
          <w:rtl w:val="0"/>
        </w:rPr>
        <w:t xml:space="preserve">ę </w:t>
      </w:r>
      <w:r>
        <w:rPr>
          <w:rStyle w:val="None"/>
          <w:sz w:val="20"/>
          <w:szCs w:val="20"/>
          <w:rtl w:val="0"/>
        </w:rPr>
        <w:t>(40% oceny) oraz esej na podstawie tej prezentacji (40% oceny) na wybrany temat w obr</w:t>
      </w:r>
      <w:r>
        <w:rPr>
          <w:rStyle w:val="None"/>
          <w:sz w:val="20"/>
          <w:szCs w:val="20"/>
          <w:rtl w:val="0"/>
        </w:rPr>
        <w:t>ę</w:t>
      </w:r>
      <w:r>
        <w:rPr>
          <w:rStyle w:val="None"/>
          <w:sz w:val="20"/>
          <w:szCs w:val="20"/>
          <w:rtl w:val="0"/>
        </w:rPr>
        <w:t>bie zagadnie</w:t>
      </w:r>
      <w:r>
        <w:rPr>
          <w:rStyle w:val="None"/>
          <w:sz w:val="20"/>
          <w:szCs w:val="20"/>
          <w:rtl w:val="0"/>
        </w:rPr>
        <w:t xml:space="preserve">ń </w:t>
      </w:r>
      <w:r>
        <w:rPr>
          <w:rStyle w:val="None"/>
          <w:sz w:val="20"/>
          <w:szCs w:val="20"/>
          <w:rtl w:val="0"/>
        </w:rPr>
        <w:t>poruszanych na kursie.</w:t>
      </w:r>
    </w:p>
    <w:p>
      <w:pPr>
        <w:pStyle w:val="List Paragraph"/>
        <w:shd w:val="clear" w:color="auto" w:fill="ffffff"/>
        <w:ind w:left="1440" w:firstLine="0"/>
        <w:rPr>
          <w:rStyle w:val="None"/>
          <w:sz w:val="20"/>
          <w:szCs w:val="2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VII. Obci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ąż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enie prac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ą 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studenta</w:t>
      </w:r>
    </w:p>
    <w:tbl>
      <w:tblPr>
        <w:tblW w:w="9211" w:type="dxa"/>
        <w:jc w:val="left"/>
        <w:tblInd w:w="1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5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Forma aktywno</w:t>
            </w:r>
            <w:r>
              <w:rPr>
                <w:rStyle w:val="None"/>
                <w:sz w:val="20"/>
                <w:szCs w:val="20"/>
                <w:rtl w:val="0"/>
              </w:rPr>
              <w:t>ś</w:t>
            </w:r>
            <w:r>
              <w:rPr>
                <w:rStyle w:val="None"/>
                <w:sz w:val="20"/>
                <w:szCs w:val="20"/>
                <w:rtl w:val="0"/>
              </w:rPr>
              <w:t>ci studenta</w:t>
            </w:r>
          </w:p>
        </w:tc>
        <w:tc>
          <w:tcPr>
            <w:tcW w:type="dxa" w:w="46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Liczba godzin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 xml:space="preserve">Liczba godzin kontaktowych z nauczycielem </w:t>
            </w:r>
          </w:p>
        </w:tc>
        <w:tc>
          <w:tcPr>
            <w:tcW w:type="dxa" w:w="46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060" w:hRule="atLeast"/>
        </w:trPr>
        <w:tc>
          <w:tcPr>
            <w:tcW w:type="dxa" w:w="46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Liczba godzin indywidualnej pracy studenta</w:t>
            </w:r>
          </w:p>
        </w:tc>
        <w:tc>
          <w:tcPr>
            <w:tcW w:type="dxa" w:w="46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30</w:t>
            </w:r>
          </w:p>
        </w:tc>
      </w:tr>
    </w:tbl>
    <w:p>
      <w:pPr>
        <w:pStyle w:val="List Paragraph"/>
        <w:widowControl w:val="0"/>
        <w:shd w:val="clear" w:color="auto" w:fill="ffffff"/>
        <w:spacing w:line="240" w:lineRule="auto"/>
        <w:ind w:left="41" w:hanging="41"/>
        <w:rPr>
          <w:rStyle w:val="None"/>
          <w:sz w:val="20"/>
          <w:szCs w:val="20"/>
        </w:rPr>
      </w:pPr>
    </w:p>
    <w:p>
      <w:pPr>
        <w:pStyle w:val="List Paragraph"/>
        <w:numPr>
          <w:ilvl w:val="0"/>
          <w:numId w:val="25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  <w:lang w:val="de-DE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Literatura</w:t>
      </w:r>
    </w:p>
    <w:tbl>
      <w:tblPr>
        <w:tblW w:w="9212" w:type="dxa"/>
        <w:jc w:val="left"/>
        <w:tblInd w:w="1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z w:val="20"/>
                <w:szCs w:val="20"/>
                <w:rtl w:val="0"/>
              </w:rPr>
              <w:t>Literatura podstawowa</w:t>
            </w:r>
          </w:p>
        </w:tc>
      </w:tr>
      <w:tr>
        <w:tblPrEx>
          <w:shd w:val="clear" w:color="auto" w:fill="ced7e7"/>
        </w:tblPrEx>
        <w:trPr>
          <w:trHeight w:val="4490" w:hRule="atLeast"/>
        </w:trPr>
        <w:tc>
          <w:tcPr>
            <w:tcW w:type="dxa" w:w="921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rPr>
                <w:rStyle w:val="None"/>
              </w:rPr>
            </w:pPr>
            <w:r>
              <w:rPr>
                <w:rStyle w:val="None"/>
                <w:sz w:val="20"/>
                <w:szCs w:val="20"/>
                <w:rtl w:val="0"/>
              </w:rPr>
              <w:t xml:space="preserve">Campbell, Joseph.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The Hero with a Thousand Faces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. New York: Princeton, 1949. 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rStyle w:val="None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fr-FR"/>
              </w:rPr>
              <w:t>Ellestr</w:t>
            </w:r>
            <w:r>
              <w:rPr>
                <w:rStyle w:val="None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Style w:val="None"/>
                <w:sz w:val="20"/>
                <w:szCs w:val="20"/>
                <w:rtl w:val="0"/>
              </w:rPr>
              <w:t xml:space="preserve">m, Lars.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Media Borders, Multimodality and Intermediality</w:t>
            </w:r>
            <w:r>
              <w:rPr>
                <w:rStyle w:val="None"/>
                <w:sz w:val="20"/>
                <w:szCs w:val="20"/>
                <w:rtl w:val="0"/>
                <w:lang w:val="it-IT"/>
              </w:rPr>
              <w:t>. Palgrave Macmillan, 2010.</w:t>
            </w:r>
          </w:p>
          <w:p>
            <w:pPr>
              <w:pStyle w:val="Footnote Text"/>
              <w:shd w:val="clear" w:color="auto" w:fill="auto"/>
              <w:bidi w:val="0"/>
              <w:spacing w:after="200" w:line="240" w:lineRule="auto"/>
              <w:ind w:left="0" w:right="0" w:firstLine="0"/>
              <w:jc w:val="both"/>
              <w:rPr>
                <w:rStyle w:val="None"/>
                <w:sz w:val="22"/>
                <w:szCs w:val="22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</w:rPr>
              <w:t xml:space="preserve">Bredekamp, Horst.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The Lure of Antiquity and the Cult of the Machine: The Kunnstkammer and the Evolution of Nature, Art and Technology.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Trans. Allison Brown. Princeton: Markus Wiener Publishers, 1995.</w:t>
            </w:r>
          </w:p>
          <w:p>
            <w:pPr>
              <w:pStyle w:val="Footnote Text"/>
              <w:shd w:val="clear" w:color="auto" w:fill="auto"/>
              <w:bidi w:val="0"/>
              <w:spacing w:after="200" w:line="240" w:lineRule="auto"/>
              <w:ind w:left="900" w:right="0" w:hanging="900"/>
              <w:jc w:val="both"/>
              <w:rPr>
                <w:rStyle w:val="None"/>
                <w:sz w:val="22"/>
                <w:szCs w:val="22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</w:rPr>
              <w:t xml:space="preserve">Burda, Hubert.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The Digital Wunderkammer: 10 Chapters on the Iconic Turn. </w:t>
            </w:r>
            <w:r>
              <w:rPr>
                <w:rStyle w:val="None"/>
                <w:sz w:val="20"/>
                <w:szCs w:val="20"/>
                <w:rtl w:val="0"/>
                <w:lang w:val="de-DE"/>
              </w:rPr>
              <w:t>Munich: Petrarca Verlag, 2011.</w:t>
            </w:r>
          </w:p>
          <w:p>
            <w:pPr>
              <w:pStyle w:val="Footnote Text"/>
              <w:shd w:val="clear" w:color="auto" w:fill="auto"/>
              <w:bidi w:val="0"/>
              <w:spacing w:after="200" w:line="240" w:lineRule="auto"/>
              <w:ind w:left="911" w:right="0" w:hanging="900"/>
              <w:jc w:val="both"/>
              <w:rPr>
                <w:rStyle w:val="None"/>
                <w:sz w:val="22"/>
                <w:szCs w:val="22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</w:rPr>
              <w:t xml:space="preserve">Jenkins, Henry.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Convergence Culture: Where Old and New Media Collide.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New York &amp; London: New York UP, 2006. Print.</w:t>
            </w:r>
          </w:p>
          <w:p>
            <w:pPr>
              <w:pStyle w:val="Body"/>
              <w:bidi w:val="0"/>
              <w:spacing w:line="240" w:lineRule="auto"/>
              <w:ind w:left="900" w:right="0" w:hanging="900"/>
              <w:jc w:val="both"/>
              <w:rPr>
                <w:rStyle w:val="None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de-DE"/>
              </w:rPr>
              <w:t xml:space="preserve">Kirschenbaum, Matthew G.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Mechanisms: New Media and the Forensic Imagination.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Cambridge, MA &amp; London: The MIT Press, 2008.</w:t>
            </w:r>
          </w:p>
          <w:p>
            <w:pPr>
              <w:pStyle w:val="Body"/>
              <w:shd w:val="clear" w:color="auto" w:fill="ffffff"/>
              <w:bidi w:val="0"/>
              <w:spacing w:line="240" w:lineRule="auto"/>
              <w:ind w:left="557" w:right="0" w:hanging="557"/>
              <w:jc w:val="both"/>
              <w:rPr>
                <w:rStyle w:val="None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Mitchell, W. J. T.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Picture Theory.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Chicago &amp; London: The University of Chicago Press, 1994. </w:t>
            </w:r>
          </w:p>
          <w:p>
            <w:pPr>
              <w:pStyle w:val="Body"/>
              <w:shd w:val="clear" w:color="auto" w:fill="ffffff"/>
              <w:bidi w:val="0"/>
              <w:spacing w:line="240" w:lineRule="auto"/>
              <w:ind w:left="557" w:right="0" w:hanging="557"/>
              <w:jc w:val="both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</w:rPr>
              <w:t xml:space="preserve">I inne zaproponowane przez nauczyciela </w:t>
            </w:r>
            <w:r>
              <w:rPr>
                <w:rStyle w:val="None"/>
                <w:sz w:val="20"/>
                <w:szCs w:val="20"/>
                <w:rtl w:val="0"/>
              </w:rPr>
              <w:t>ź</w:t>
            </w:r>
            <w:r>
              <w:rPr>
                <w:rStyle w:val="None"/>
                <w:sz w:val="20"/>
                <w:szCs w:val="20"/>
                <w:rtl w:val="0"/>
              </w:rPr>
              <w:t>r</w:t>
            </w:r>
            <w:r>
              <w:rPr>
                <w:rStyle w:val="None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one"/>
                <w:sz w:val="20"/>
                <w:szCs w:val="20"/>
                <w:rtl w:val="0"/>
              </w:rPr>
              <w:t>d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a, zw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aszcza utwory literatury angielskiej i ameryka</w:t>
            </w:r>
            <w:r>
              <w:rPr>
                <w:rStyle w:val="None"/>
                <w:sz w:val="20"/>
                <w:szCs w:val="20"/>
                <w:rtl w:val="0"/>
              </w:rPr>
              <w:t>ń</w:t>
            </w:r>
            <w:r>
              <w:rPr>
                <w:rStyle w:val="None"/>
                <w:sz w:val="20"/>
                <w:szCs w:val="20"/>
                <w:rtl w:val="0"/>
              </w:rPr>
              <w:t>skiej, podawane z wyprzedzeniem na zaj</w:t>
            </w:r>
            <w:r>
              <w:rPr>
                <w:rStyle w:val="None"/>
                <w:sz w:val="20"/>
                <w:szCs w:val="20"/>
                <w:rtl w:val="0"/>
              </w:rPr>
              <w:t>ę</w:t>
            </w:r>
            <w:r>
              <w:rPr>
                <w:rStyle w:val="None"/>
                <w:sz w:val="20"/>
                <w:szCs w:val="20"/>
                <w:rtl w:val="0"/>
              </w:rPr>
              <w:t>ciach.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21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Style w:val="None"/>
                <w:sz w:val="20"/>
                <w:szCs w:val="20"/>
                <w:rtl w:val="0"/>
              </w:rPr>
              <w:t>Literatura uzupe</w:t>
            </w:r>
            <w:r>
              <w:rPr>
                <w:rStyle w:val="None"/>
                <w:sz w:val="20"/>
                <w:szCs w:val="20"/>
                <w:rtl w:val="0"/>
              </w:rPr>
              <w:t>ł</w:t>
            </w:r>
            <w:r>
              <w:rPr>
                <w:rStyle w:val="None"/>
                <w:sz w:val="20"/>
                <w:szCs w:val="20"/>
                <w:rtl w:val="0"/>
              </w:rPr>
              <w:t>niaj</w:t>
            </w:r>
            <w:r>
              <w:rPr>
                <w:rStyle w:val="None"/>
                <w:sz w:val="20"/>
                <w:szCs w:val="20"/>
                <w:rtl w:val="0"/>
              </w:rPr>
              <w:t>ą</w:t>
            </w:r>
            <w:r>
              <w:rPr>
                <w:rStyle w:val="None"/>
                <w:sz w:val="20"/>
                <w:szCs w:val="20"/>
                <w:rtl w:val="0"/>
              </w:rPr>
              <w:t>ca</w:t>
            </w:r>
          </w:p>
        </w:tc>
      </w:tr>
      <w:tr>
        <w:tblPrEx>
          <w:shd w:val="clear" w:color="auto" w:fill="ced7e7"/>
        </w:tblPrEx>
        <w:trPr>
          <w:trHeight w:val="2570" w:hRule="atLeast"/>
        </w:trPr>
        <w:tc>
          <w:tcPr>
            <w:tcW w:type="dxa" w:w="921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note Text"/>
              <w:shd w:val="clear" w:color="auto" w:fill="auto"/>
              <w:spacing w:after="200" w:line="240" w:lineRule="auto"/>
              <w:ind w:left="0" w:firstLine="0"/>
              <w:jc w:val="both"/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0"/>
                <w:szCs w:val="20"/>
                <w:rtl w:val="0"/>
              </w:rPr>
              <w:t xml:space="preserve">Aercke, Kristiaan P.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Gods of Play: Baroque Festive Performances as Rhetorical Discourse.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Albany: State University of New York Press, 1994.</w:t>
            </w:r>
          </w:p>
          <w:p>
            <w:pPr>
              <w:pStyle w:val="Footnote Text"/>
              <w:shd w:val="clear" w:color="auto" w:fill="auto"/>
              <w:bidi w:val="0"/>
              <w:spacing w:after="200" w:line="240" w:lineRule="auto"/>
              <w:ind w:left="900" w:right="0" w:hanging="900"/>
              <w:jc w:val="both"/>
              <w:rPr>
                <w:rStyle w:val="None"/>
                <w:sz w:val="22"/>
                <w:szCs w:val="22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</w:rPr>
              <w:t xml:space="preserve">Bryson, Norman.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Vision and Painting: The Logic of the Gaze.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>New Haven &amp; London: Yale UP, 1983.</w:t>
            </w:r>
          </w:p>
          <w:p>
            <w:pPr>
              <w:pStyle w:val="Body"/>
              <w:bidi w:val="0"/>
              <w:spacing w:line="240" w:lineRule="auto"/>
              <w:ind w:left="557" w:right="0" w:hanging="557"/>
              <w:jc w:val="both"/>
              <w:rPr>
                <w:rStyle w:val="None"/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Mitchell, W. J. T.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Iconology. Image, Text, Ideology. </w:t>
            </w: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Chicago &amp; London: The University of Chicago Press, 1987. Print. </w:t>
            </w:r>
          </w:p>
          <w:p>
            <w:pPr>
              <w:pStyle w:val="Body"/>
              <w:bidi w:val="0"/>
              <w:spacing w:line="240" w:lineRule="auto"/>
              <w:ind w:left="911" w:right="0" w:hanging="900"/>
              <w:jc w:val="both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</w:rPr>
              <w:t xml:space="preserve">Wagner, Peter (ed.). </w:t>
            </w:r>
            <w:r>
              <w:rPr>
                <w:rStyle w:val="None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Icons, Texts, Iconotexts: Essays on Ekphrasis and Intermediality. </w:t>
            </w:r>
            <w:r>
              <w:rPr>
                <w:rStyle w:val="None"/>
                <w:sz w:val="20"/>
                <w:szCs w:val="20"/>
                <w:rtl w:val="0"/>
                <w:lang w:val="de-DE"/>
              </w:rPr>
              <w:t>Berlin, New York: Walter de Gruyter, 1996. Print.</w:t>
            </w:r>
            <w:r>
              <w:rPr>
                <w:rStyle w:val="None"/>
              </w:rPr>
            </w:r>
          </w:p>
        </w:tc>
      </w:tr>
    </w:tbl>
    <w:p>
      <w:pPr>
        <w:pStyle w:val="List Paragraph"/>
        <w:widowControl w:val="0"/>
        <w:numPr>
          <w:ilvl w:val="0"/>
          <w:numId w:val="26"/>
        </w:numPr>
        <w:shd w:val="clear" w:color="auto" w:fill="ffffff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hd w:val="clear" w:color="auto" w:fill="ffffff"/>
      <w:tabs>
        <w:tab w:val="right" w:pos="9046"/>
        <w:tab w:val="right" w:pos="9046"/>
        <w:tab w:val="clear" w:pos="9072"/>
      </w:tabs>
      <w:jc w:val="right"/>
    </w:pPr>
    <w:r>
      <w:rPr>
        <w:rStyle w:val="None"/>
        <w:rFonts w:ascii="Calibri" w:cs="Calibri" w:hAnsi="Calibri" w:eastAsia="Calibri"/>
        <w:i w:val="1"/>
        <w:iCs w:val="1"/>
        <w:rtl w:val="0"/>
        <w:lang w:val="en-US"/>
      </w:rPr>
      <w:t>Za</w:t>
    </w:r>
    <w:r>
      <w:rPr>
        <w:rStyle w:val="None"/>
        <w:rFonts w:ascii="Calibri" w:cs="Calibri" w:hAnsi="Calibri" w:eastAsia="Calibri"/>
        <w:i w:val="1"/>
        <w:iCs w:val="1"/>
        <w:rtl w:val="0"/>
        <w:lang w:val="en-US"/>
      </w:rPr>
      <w:t>łą</w:t>
    </w:r>
    <w:r>
      <w:rPr>
        <w:rStyle w:val="None"/>
        <w:rFonts w:ascii="Calibri" w:cs="Calibri" w:hAnsi="Calibri" w:eastAsia="Calibri"/>
        <w:i w:val="1"/>
        <w:iCs w:val="1"/>
        <w:rtl w:val="0"/>
        <w:lang w:val="en-US"/>
      </w:rPr>
      <w:t>cznik nr 5 do dokumentacji programowej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Roman"/>
      <w:suff w:val="tab"/>
      <w:lvlText w:val="%1."/>
      <w:lvlJc w:val="left"/>
      <w:pPr>
        <w:ind w:left="115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91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51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11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Roman"/>
      <w:suff w:val="tab"/>
      <w:lvlText w:val="%1."/>
      <w:lvlJc w:val="left"/>
      <w:pPr>
        <w:ind w:left="115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91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51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11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1152"/>
          </w:tabs>
          <w:ind w:left="119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76"/>
          </w:tabs>
          <w:ind w:left="15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91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16"/>
          </w:tabs>
          <w:ind w:left="295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36"/>
          </w:tabs>
          <w:ind w:left="367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51"/>
          </w:tabs>
          <w:ind w:left="439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76"/>
          </w:tabs>
          <w:ind w:left="51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96"/>
          </w:tabs>
          <w:ind w:left="58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11"/>
          </w:tabs>
          <w:ind w:left="655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2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1152"/>
          </w:tabs>
          <w:ind w:left="119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76"/>
          </w:tabs>
          <w:ind w:left="15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91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16"/>
          </w:tabs>
          <w:ind w:left="295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36"/>
          </w:tabs>
          <w:ind w:left="367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51"/>
          </w:tabs>
          <w:ind w:left="439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76"/>
          </w:tabs>
          <w:ind w:left="51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96"/>
          </w:tabs>
          <w:ind w:left="58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11"/>
          </w:tabs>
          <w:ind w:left="655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3"/>
    </w:lvlOverride>
  </w:num>
  <w:num w:numId="11">
    <w:abstractNumId w:val="4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1152"/>
          </w:tabs>
          <w:ind w:left="119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76"/>
          </w:tabs>
          <w:ind w:left="15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91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16"/>
          </w:tabs>
          <w:ind w:left="295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36"/>
          </w:tabs>
          <w:ind w:left="367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51"/>
          </w:tabs>
          <w:ind w:left="439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76"/>
          </w:tabs>
          <w:ind w:left="51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96"/>
          </w:tabs>
          <w:ind w:left="58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11"/>
          </w:tabs>
          <w:ind w:left="655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6"/>
    <w:lvlOverride w:ilvl="0">
      <w:startOverride w:val="4"/>
    </w:lvlOverride>
  </w:num>
  <w:num w:numId="15">
    <w:abstractNumId w:val="6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1152"/>
          </w:tabs>
          <w:ind w:left="119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76"/>
          </w:tabs>
          <w:ind w:left="15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91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16"/>
          </w:tabs>
          <w:ind w:left="295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36"/>
          </w:tabs>
          <w:ind w:left="367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51"/>
          </w:tabs>
          <w:ind w:left="439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76"/>
          </w:tabs>
          <w:ind w:left="51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96"/>
          </w:tabs>
          <w:ind w:left="58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11"/>
          </w:tabs>
          <w:ind w:left="655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6">
    <w:abstractNumId w:val="9"/>
  </w:num>
  <w:num w:numId="17">
    <w:abstractNumId w:val="8"/>
  </w:num>
  <w:num w:numId="18">
    <w:abstractNumId w:val="8"/>
    <w:lvlOverride w:ilvl="0">
      <w:startOverride w:val="5"/>
    </w:lvlOverride>
  </w:num>
  <w:num w:numId="19">
    <w:abstractNumId w:val="8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1152"/>
          </w:tabs>
          <w:ind w:left="119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76"/>
          </w:tabs>
          <w:ind w:left="15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91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16"/>
          </w:tabs>
          <w:ind w:left="295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36"/>
          </w:tabs>
          <w:ind w:left="367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51"/>
          </w:tabs>
          <w:ind w:left="439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76"/>
          </w:tabs>
          <w:ind w:left="51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96"/>
          </w:tabs>
          <w:ind w:left="58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11"/>
          </w:tabs>
          <w:ind w:left="655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20">
    <w:abstractNumId w:val="11"/>
  </w:num>
  <w:num w:numId="21">
    <w:abstractNumId w:val="10"/>
  </w:num>
  <w:num w:numId="22">
    <w:abstractNumId w:val="10"/>
    <w:lvlOverride w:ilvl="0">
      <w:startOverride w:val="6"/>
    </w:lvlOverride>
  </w:num>
  <w:num w:numId="23">
    <w:abstractNumId w:val="13"/>
  </w:num>
  <w:num w:numId="24">
    <w:abstractNumId w:val="12"/>
  </w:num>
  <w:num w:numId="25">
    <w:abstractNumId w:val="12"/>
    <w:lvlOverride w:ilvl="0">
      <w:startOverride w:val="8"/>
    </w:lvlOverride>
  </w:num>
  <w:num w:numId="26">
    <w:abstractNumId w:val="12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num" w:pos="1152"/>
          </w:tabs>
          <w:ind w:left="119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76"/>
          </w:tabs>
          <w:ind w:left="15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91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16"/>
          </w:tabs>
          <w:ind w:left="295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36"/>
          </w:tabs>
          <w:ind w:left="367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51"/>
          </w:tabs>
          <w:ind w:left="439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76"/>
          </w:tabs>
          <w:ind w:left="511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96"/>
          </w:tabs>
          <w:ind w:left="58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11"/>
          </w:tabs>
          <w:ind w:left="655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  <w:rPr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8"/>
      </w:numPr>
    </w:pPr>
  </w:style>
  <w:style w:type="numbering" w:styleId="Imported Style 4">
    <w:name w:val="Imported Style 4"/>
    <w:pPr>
      <w:numPr>
        <w:numId w:val="12"/>
      </w:numPr>
    </w:pPr>
  </w:style>
  <w:style w:type="numbering" w:styleId="Imported Style 5">
    <w:name w:val="Imported Style 5"/>
    <w:pPr>
      <w:numPr>
        <w:numId w:val="16"/>
      </w:numPr>
    </w:pPr>
  </w:style>
  <w:style w:type="numbering" w:styleId="Imported Style 6">
    <w:name w:val="Imported Style 6"/>
    <w:pPr>
      <w:numPr>
        <w:numId w:val="20"/>
      </w:numPr>
    </w:pPr>
  </w:style>
  <w:style w:type="numbering" w:styleId="Imported Style 7">
    <w:name w:val="Imported Style 7"/>
    <w:pPr>
      <w:numPr>
        <w:numId w:val="23"/>
      </w:numPr>
    </w:pPr>
  </w:style>
  <w:style w:type="paragraph" w:styleId="Footnote Text">
    <w:name w:val="Footnote Text"/>
    <w:next w:val="Footnote Text"/>
    <w:pPr>
      <w:keepNext w:val="1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76" w:lineRule="auto"/>
      <w:ind w:left="339" w:right="0" w:hanging="339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