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58" w:rsidRPr="0064089F" w:rsidRDefault="00782C34">
      <w:pPr>
        <w:pStyle w:val="Normal0"/>
        <w:spacing w:after="0" w:line="100" w:lineRule="atLeast"/>
        <w:rPr>
          <w:rStyle w:val="None"/>
          <w:rFonts w:ascii="Times New Roman" w:hAnsi="Times New Roman" w:cs="Times New Roman"/>
          <w:b/>
          <w:bCs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D26358" w:rsidRPr="0064089F" w:rsidRDefault="00D26358">
      <w:pPr>
        <w:pStyle w:val="Normal0"/>
        <w:spacing w:after="0" w:line="100" w:lineRule="atLeast"/>
        <w:rPr>
          <w:rFonts w:ascii="Times New Roman" w:hAnsi="Times New Roman" w:cs="Times New Roman"/>
          <w:b/>
          <w:bCs/>
        </w:rPr>
      </w:pPr>
    </w:p>
    <w:p w:rsidR="00D26358" w:rsidRPr="0064089F" w:rsidRDefault="00782C34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b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17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Literatura anglojęzyczna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pl-PL"/>
              </w:rPr>
              <w:t>Nazwa przedmiotu w języku angielskim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English language literature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Kierunek studi</w:t>
            </w:r>
            <w:r w:rsidRPr="0064089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4089F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Filologia angielska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pl-PL"/>
              </w:rPr>
              <w:t>Poziom studi</w:t>
            </w:r>
            <w:r w:rsidRPr="0064089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4089F">
              <w:rPr>
                <w:rStyle w:val="None"/>
                <w:rFonts w:ascii="Times New Roman" w:hAnsi="Times New Roman" w:cs="Times New Roman"/>
                <w:lang w:val="pl-PL"/>
              </w:rPr>
              <w:t>w (I, II, jednolite magisterskie)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II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r w:rsidRPr="0064089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4089F">
              <w:rPr>
                <w:rStyle w:val="None"/>
                <w:rFonts w:ascii="Times New Roman" w:hAnsi="Times New Roman" w:cs="Times New Roman"/>
              </w:rPr>
              <w:t xml:space="preserve">w </w:t>
            </w:r>
            <w:r w:rsidRPr="0064089F">
              <w:rPr>
                <w:rStyle w:val="None"/>
                <w:rFonts w:ascii="Times New Roman" w:hAnsi="Times New Roman" w:cs="Times New Roman"/>
              </w:rPr>
              <w:t>(stacjonarne, niestacjonarne)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stacjonarne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literaturoznawstwo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Język angielski</w:t>
            </w:r>
          </w:p>
        </w:tc>
      </w:tr>
    </w:tbl>
    <w:p w:rsidR="00D26358" w:rsidRPr="0064089F" w:rsidRDefault="00D26358" w:rsidP="0064089F">
      <w:pPr>
        <w:pStyle w:val="Akapitzlist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17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Dr Magdalena Sawa</w:t>
            </w:r>
          </w:p>
        </w:tc>
      </w:tr>
    </w:tbl>
    <w:p w:rsidR="00D26358" w:rsidRPr="0064089F" w:rsidRDefault="00D26358">
      <w:pPr>
        <w:pStyle w:val="Normal0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4"/>
        <w:gridCol w:w="2264"/>
        <w:gridCol w:w="2273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  <w:lang w:val="pl-PL"/>
              </w:rPr>
              <w:t xml:space="preserve">Forma zajęć </w:t>
            </w:r>
            <w:r w:rsidRPr="0064089F">
              <w:rPr>
                <w:rStyle w:val="None"/>
                <w:rFonts w:ascii="Times New Roman" w:hAnsi="Times New Roman" w:cs="Times New Roman"/>
                <w:i/>
                <w:iCs/>
                <w:kern w:val="0"/>
                <w:lang w:val="pl-PL"/>
              </w:rPr>
              <w:t>(katalog zamknięty ze słownika)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Liczba godzin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  <w:lang w:val="pt-PT"/>
              </w:rPr>
              <w:t>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kern w:val="0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Punkty ECTS</w:t>
            </w:r>
          </w:p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12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wykład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Domylnie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kern w:val="0"/>
                <w:sz w:val="22"/>
                <w:szCs w:val="22"/>
              </w:rPr>
              <w:t>26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konwersatorium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ćwiczenia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  <w:lang w:val="it-IT"/>
              </w:rPr>
              <w:t>laboratorium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warsztaty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seminarium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kern w:val="0"/>
                <w:sz w:val="22"/>
                <w:szCs w:val="22"/>
              </w:rPr>
              <w:t>od I do IV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proseminarium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lektorat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praktyki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zajęcia terenowe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pracownia dyplomowa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  <w:lang w:val="de-DE"/>
              </w:rPr>
              <w:t>translatorium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kern w:val="0"/>
              </w:rPr>
              <w:t>wizyta studyjna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58" w:rsidRPr="0064089F" w:rsidRDefault="00D26358">
            <w:pPr>
              <w:rPr>
                <w:sz w:val="22"/>
                <w:szCs w:val="22"/>
              </w:rPr>
            </w:pPr>
          </w:p>
        </w:tc>
      </w:tr>
    </w:tbl>
    <w:p w:rsidR="00D26358" w:rsidRPr="0064089F" w:rsidRDefault="00D26358">
      <w:pPr>
        <w:pStyle w:val="Domylnie"/>
        <w:rPr>
          <w:rFonts w:cs="Times New Roman"/>
          <w:sz w:val="22"/>
          <w:szCs w:val="22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6988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Wymagania wstę</w:t>
            </w:r>
            <w:r w:rsidRPr="0064089F">
              <w:rPr>
                <w:rStyle w:val="None"/>
                <w:rFonts w:ascii="Times New Roman" w:hAnsi="Times New Roman" w:cs="Times New Roman"/>
              </w:rPr>
              <w:t>pne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Zaawansowana znajomość języka angielskiego, podstawowe umiejętności analizy i interpretacji tekstu narracyjnego (terminologia, zasady interpretacji, itp.), podstawowa znajomość literatury anglojęzycznej. Podstawowe umiejętności w zakresie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academic writ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ing.</w:t>
            </w:r>
          </w:p>
        </w:tc>
      </w:tr>
    </w:tbl>
    <w:p w:rsidR="00D26358" w:rsidRPr="0064089F" w:rsidRDefault="00D26358">
      <w:pPr>
        <w:pStyle w:val="Normal0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C1 Podstawowy cel to napisanie przez każdego z uczestników seminarium pracy magisterskiej. Zasadniczo prace rozpatrują wybrane zagadnienia literaturoznawcze w kontekście literatury anglojęzycznej.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C2 Zaawansowana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znajomość literatury anglojęzycznej oraz problematyki literaturoznawczej, dobra znajomość problematyki metodologii nauk humanistycznych (w szczególności literaturoznawstwa), oraz podstawowych zagadnień w tej dziedzinie.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C3 Umiejętność krytycznego czytani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a prac krytycznoliterackich oraz zdolność analizy i interpretacji tekstów literackich.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C4 Dobra umiejętność  współpracy z innymi uczestnikami seminarium (tj. formułowania i korzystania z konstruktywnej krytyki), oraz dobre techniczne (warsztatowe) umiejęt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ności pisania prac naukowych (wybór tematu, przygotowanie projektu, wybór metody, gromadzenie bibliografii, sporządzanie przypisów itd.) oraz przejrzystego i zwięzłego, logicznego i językowo poprawnego przedstawienia wyników badań.</w:t>
            </w:r>
          </w:p>
        </w:tc>
      </w:tr>
    </w:tbl>
    <w:p w:rsidR="00D26358" w:rsidRPr="0064089F" w:rsidRDefault="00D26358" w:rsidP="0064089F">
      <w:pPr>
        <w:pStyle w:val="Akapitzlist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 xml:space="preserve">Efekty uczenia się </w:t>
      </w:r>
      <w:r w:rsidRPr="0064089F">
        <w:rPr>
          <w:rStyle w:val="None"/>
          <w:rFonts w:ascii="Times New Roman" w:hAnsi="Times New Roman" w:cs="Times New Roman"/>
          <w:b/>
          <w:bCs/>
        </w:rPr>
        <w:t>dla przedmiotu wraz z odniesieniem do efekt</w:t>
      </w:r>
      <w:r w:rsidRPr="0064089F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64089F">
        <w:rPr>
          <w:rStyle w:val="None"/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850"/>
        <w:gridCol w:w="2135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ma zaawansowaną wiedzę na temat literatury anglojęzycznej i języka angielskiego w zakresie objętym tematyk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ą seminarium.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K_W08, K_W10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wyjaśnia podstawowe pojęcia i rozróżnienia współczesnych badań literaturoznawczych, rozumie kontrowersje wokół kwestii interpretacji tekstu literackiego – jest przygotowany by samodzielnie analizować i interpretow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ać teksty narracyjne.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K_W02, K_W08, K_W10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</w:t>
            </w:r>
            <w:r w:rsidRPr="0064089F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posługuje się anglojęzyczną terminologią potrzebną do opisu, analizy i interpretacji współczesnej literatury (tj. terminologię teorii utworu narracyjnego) oraz innych zagadnień związanych ze szczegół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ową tematyką seminarium. Rozumie potrzebę precyzyjnego i logicznie poprawnego wyrażania myśli.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K_W05, K_W07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lastRenderedPageBreak/>
              <w:t>W_04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dostrzega znaczenie metodologii w badaniach naukowych,  wyróżnia podstawowe metody badawcze stosowane w literaturoznawstwie,  w szczeg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ólności  w ramach tematyki seminarium, a także wykazuje świadomość istotności badań nad literaturą i związanymi z nią zagadnieniami kulturowymi.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K_W01, K_W09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definiuje pojęcia i zasady z zakresu ochrony własności intelektualnej i prawa autors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kiego, zwłaszcza w odniesieniu do prac z zakresu literatury anglojęzycznej objętych tematyką seminarium.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K_W13, K_W14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64089F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Z pomocą promotora student formułuje problem badawczy, wybiera metodę i wyszukuje odpowiedni materiał empiryczny, a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następnie stosuje wybraną metodę w swojej pracy. Student  poprawnie konstruuje swoją pracę magisterską, sprawnie wyraża myśli i buduje argumentację, uwzględniając źródła krytyczne.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K_U01, K_U02,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K_U03, K_U04,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K_U05, K_U06,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K_U10,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przeprowadz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a analizę i interpretację utworu narracyjnego, korzystając z wiedzy współczesnego literaturoznawstwa. Student rozumie techniki narracyjne charakterystyczne dla współczesnej literatury anglojęzycznej; stara się śledzić istotne dla współczesnej literatury i,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szerzej, kultury zdarzenia.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K_U01, K_U05, K_U15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potrafi czytać krytycznie teksty krytycznoliterackie. Ocenia ich wartość naukową i uzasadnia tę ocenę.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K_U02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Student posługuje się literaturoznawczą terminologią w języku angielskim. 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Precyzyjnie i logicznie posługuje się językiem  przedstawiając swoje analizy i interpretacje współczesnej literatury i, szerzej, wyniki swoich badań. Student korzysta z akademickiego rejestru wymaganego w pracach literaturoznawczych.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K_U03, K_U06, K_U07, K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_U12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64089F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przedstawia uzasadnienie dla swojej analizy, interpretacji i oceny tekstów krytycznoliterackich i tekstów narracyjnych należących do literatury pięknej.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K_K02,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Student stawia sobie cele i organizuje swoją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pracę; ma świadomość konieczności poszanowania zasad i norm etycznych wynikających ze specyfiki badań naukowych.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K_K06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Student dostrzega możliwości rozwijania swoich kompetencji i wiedzy, w które został wyposażony podczas pracy na seminarium, zauważa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powiązania między zdobytymi umiejętnościami a możliwościami wykorzystania ich w życiu zawodowym, a także jest świadomy kulturotwórczej roli badań literackich i potrafi zaangażować się w wydarzenia związane np. z ich promocją i popularyzowaniem.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K_K01, K_K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03, K_K07,</w:t>
            </w:r>
          </w:p>
        </w:tc>
      </w:tr>
    </w:tbl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b/>
          <w:bCs/>
        </w:rPr>
      </w:pPr>
      <w:r w:rsidRPr="0064089F">
        <w:rPr>
          <w:rFonts w:ascii="Times New Roman" w:hAnsi="Times New Roman" w:cs="Times New Roman"/>
          <w:b/>
          <w:bCs/>
        </w:rPr>
        <w:lastRenderedPageBreak/>
        <w:t>Opis przedmiotu/ treści programowe</w:t>
      </w: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b/>
                <w:bCs/>
                <w:sz w:val="22"/>
                <w:szCs w:val="22"/>
                <w:lang w:val="pl-PL"/>
              </w:rPr>
              <w:t>Semestr I</w:t>
            </w:r>
            <w:r w:rsidRPr="0064089F">
              <w:rPr>
                <w:rStyle w:val="None"/>
                <w:rFonts w:eastAsia="Calibri" w:cs="Times New Roman"/>
                <w:b/>
                <w:bCs/>
                <w:sz w:val="22"/>
                <w:szCs w:val="22"/>
                <w:lang w:val="pl-PL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1 Wprowadzenie do kursu. Zapoznanie ze specyfiką pracy magisterskiej z zakresu literatury anglojęzycznej.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2-5 Ćwiczenia z warsztatu pisania pracy naukowej: problem plagiatu, kryteria oceny pracy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naukowej, znaczenie metody naukowej i opisu stanu badań, zasady zbierania materiałów, organizacja pracy, itp. Ćwiczenia z parafrazowania i streszczania. Ćwiczenia ze struktury paragrafu.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b/>
                <w:bCs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6. Przegląd szkół obecnie uznawanych w ramach literaturoznawstwa.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7-9 Dyskusja nad przykładowymi  artykułami  typu research paper w celu zademonstrowania poprawnie przeprowadzonej analizy krytyczno-literackiej.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10-11 Wybór tematu pracy dyplomowej.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12-13 Referaty seminarzystów dotyczące stanu badań nad wybranym przez nich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problemem badawczym oraz na temat zebranego materiału bibliograficznego oraz dyskusja.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14-15 Przedstawienie planu pracy dyplomowej i dyskusja na forum grupy.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br/>
            </w:r>
            <w:r w:rsidRPr="0064089F">
              <w:rPr>
                <w:rStyle w:val="None"/>
                <w:rFonts w:eastAsia="Calibri" w:cs="Times New Roman"/>
                <w:b/>
                <w:bCs/>
                <w:sz w:val="22"/>
                <w:szCs w:val="22"/>
              </w:rPr>
              <w:t>Semestr 2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Seminaria w tym semestrze poświęcone są  analizie pierwszych (teoretycznych) rozdziałów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prac pisanych przez uczestników seminarium oraz omawianiu teoretycznych zagadnień albo analiz/interpretacji utworów literackich związanych ze szczegółowymi tematami prac wybranymi przez uczestników seminarium.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b/>
                <w:bCs/>
                <w:sz w:val="22"/>
                <w:szCs w:val="22"/>
              </w:rPr>
              <w:t>Semestr 3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b/>
                <w:bCs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Seminaria w tym semestrze poświęcon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e są  dyskusjom nad analizami/interpretacjami  tekstów i redakcją  drugich  rozdziałów prac pisanych przez uczestników seminarium oraz omawianiu wszelkich zagadnień związanych ze szczegółowymi tematami prac wybranymi przez uczestników seminarium.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b/>
                <w:bCs/>
                <w:sz w:val="22"/>
                <w:szCs w:val="22"/>
              </w:rPr>
              <w:t>Semestr 4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Seminaria w tym semestrze poświęcone są  dyskusjom nad analizami/interpretacjami  tekstów i redakcją  trzecich rozdziałów prac pisanych przez uczestników seminarium oraz omawianiu wszelkich zagadnień związanych ze szczegółowymi tematami prac wybranymi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przez uczestników seminarium. Pod koniec tego semestru studenci piszą wstęp, zakończenie,  streszczenie pracy w języku polskim, robią korektę całego tekstu włącznie z bibliografią.</w:t>
            </w:r>
          </w:p>
        </w:tc>
      </w:tr>
    </w:tbl>
    <w:p w:rsidR="00D26358" w:rsidRPr="0064089F" w:rsidRDefault="00D26358" w:rsidP="0064089F">
      <w:pPr>
        <w:pStyle w:val="Akapitzlist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26358" w:rsidRPr="0064089F" w:rsidRDefault="00D26358">
      <w:pPr>
        <w:pStyle w:val="Normal0"/>
        <w:spacing w:after="0" w:line="100" w:lineRule="atLeast"/>
        <w:rPr>
          <w:rFonts w:ascii="Times New Roman" w:hAnsi="Times New Roman" w:cs="Times New Roman"/>
          <w:b/>
          <w:bCs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64089F">
        <w:rPr>
          <w:rStyle w:val="None"/>
          <w:rFonts w:ascii="Times New Roman" w:hAnsi="Times New Roman" w:cs="Times New Roman"/>
          <w:b/>
          <w:bCs/>
          <w:lang w:val="pl-PL"/>
        </w:rPr>
        <w:t>Metody realizacji i weryfikacji efekt</w:t>
      </w:r>
      <w:r w:rsidRPr="0064089F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64089F">
        <w:rPr>
          <w:rStyle w:val="None"/>
          <w:rFonts w:ascii="Times New Roman" w:hAnsi="Times New Roman" w:cs="Times New Roman"/>
          <w:b/>
          <w:bCs/>
          <w:lang w:val="pl-PL"/>
        </w:rPr>
        <w:t>w uczenia się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646"/>
        <w:gridCol w:w="2787"/>
        <w:gridCol w:w="2552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Metod</w:t>
            </w:r>
            <w:r w:rsidRPr="0064089F">
              <w:rPr>
                <w:rStyle w:val="None"/>
                <w:rFonts w:ascii="Times New Roman" w:hAnsi="Times New Roman" w:cs="Times New Roman"/>
              </w:rPr>
              <w:t>y dydaktyczne</w:t>
            </w:r>
          </w:p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z tekstem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Analiza tekstu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badawcza pod kierunkiem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Monitorowanie i informacja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informacja zwrotna od prowadzącego 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lastRenderedPageBreak/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Dyskusja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z tekstem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Miniwykład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Praca badawcza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pod kierunkiem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Monitorowanie i informacja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informacja zwrotna od prowadzącego 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Dokumentacja z kolejnych etapów pracy nad pracą magisterską przedstawiana przez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Dyskusja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Miniwykład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badawcza pod kierunkiem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Monitorowanie i informacja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informacja zwrotna od prowadzącego 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Praca pisemna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badawcza pod kierunkiem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Miniwykład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Dyskusja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Monitorowanie i informacja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informacja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zwrotna od prowadzącego 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W_05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badawcza pod kierunkiem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Miniwykład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Monitorowanie i inform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informacja zwrotna od prowadzącego </w:t>
            </w:r>
          </w:p>
          <w:p w:rsidR="00D26358" w:rsidRPr="0064089F" w:rsidRDefault="00D26358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64089F">
              <w:rPr>
                <w:rStyle w:val="None"/>
                <w:rFonts w:ascii="Times New Roman" w:hAnsi="Times New Roman" w:cs="Times New Roman"/>
              </w:rPr>
              <w:t>Ę</w:t>
            </w:r>
            <w:r w:rsidRPr="0064089F">
              <w:rPr>
                <w:rStyle w:val="None"/>
                <w:rFonts w:ascii="Times New Roman" w:hAnsi="Times New Roman" w:cs="Times New Roman"/>
              </w:rPr>
              <w:t>TNOŚCI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Analiza tekstu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Dyskusja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Praca badawcza pod kierunkiem (praca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seminaryjna)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Monitorowanie i informacja zwrotna od 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Odpowiedź ustna i informacja zwrotna od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Sprawozdanie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Notatki w arkuszu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lastRenderedPageBreak/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Analiza tekstu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Dyskusja 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Praca badawcza pod kierunkiem (praca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seminaryjna)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Notatki w arkuszu ocen prowadz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</w:t>
            </w:r>
            <w:r w:rsidRPr="0064089F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z tekstem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Dyskusja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Praca badawcza pod kierunkiem (praca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seminaryjna)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Praca pisemna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Odpowiedź ustna i feedback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U_04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Praca badawcza pod kierunkiem (praca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seminaryjna)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Notatki w arkuszu ocen prowadzącego 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 xml:space="preserve"> Dokumentacja z kolejnych etapów pracy nad pracą magisterską przedstawiana przez studentów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58" w:rsidRPr="0064089F" w:rsidRDefault="00782C34">
            <w:pPr>
              <w:pStyle w:val="Normal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64089F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Dyskusja 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pisemna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Obserwacja pracy studenta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Obserwacja pracy studenta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Odpowied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ź ustna i informacja zwrotna od prowadzącego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K_03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Obserwacja pracy studenta</w:t>
            </w:r>
          </w:p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Odpowiedź ustna i informacja zwrotna od prowadzącego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Praca magisterska</w:t>
            </w:r>
          </w:p>
        </w:tc>
      </w:tr>
    </w:tbl>
    <w:p w:rsidR="00D26358" w:rsidRPr="0064089F" w:rsidRDefault="00D26358" w:rsidP="0064089F">
      <w:pPr>
        <w:pStyle w:val="Akapitzlist"/>
        <w:widowControl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D26358" w:rsidRPr="0064089F" w:rsidRDefault="00D26358">
      <w:pPr>
        <w:pStyle w:val="Akapitzlist"/>
        <w:spacing w:after="0" w:line="100" w:lineRule="atLeast"/>
        <w:ind w:left="1080"/>
        <w:rPr>
          <w:rFonts w:ascii="Times New Roman" w:hAnsi="Times New Roman" w:cs="Times New Roman"/>
          <w:b/>
          <w:bCs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>Kryteria oceny</w:t>
      </w:r>
    </w:p>
    <w:p w:rsidR="00D26358" w:rsidRPr="0064089F" w:rsidRDefault="00782C34">
      <w:pPr>
        <w:pStyle w:val="Normal0"/>
        <w:spacing w:after="0" w:line="100" w:lineRule="atLeast"/>
        <w:jc w:val="both"/>
        <w:rPr>
          <w:rFonts w:ascii="Times New Roman" w:hAnsi="Times New Roman" w:cs="Times New Roman"/>
        </w:rPr>
      </w:pPr>
      <w:r w:rsidRPr="0064089F">
        <w:rPr>
          <w:rFonts w:ascii="Times New Roman" w:hAnsi="Times New Roman" w:cs="Times New Roman"/>
        </w:rPr>
        <w:t xml:space="preserve">Podstawowe kryteria oceny to aktywne uczestnictwo w </w:t>
      </w:r>
      <w:r w:rsidRPr="0064089F">
        <w:rPr>
          <w:rFonts w:ascii="Times New Roman" w:hAnsi="Times New Roman" w:cs="Times New Roman"/>
        </w:rPr>
        <w:t>seminarium, co oznacza realizację zadań wyznaczonych przez promotora, które mają za zadanie przygotować seminarzystów do pisania pracy magisterskiej, oraz praca nad własnym projektem badawczym. Ostatecznym warunkiem zaliczenia seminarium jest oddanie pracy</w:t>
      </w:r>
      <w:r w:rsidRPr="0064089F">
        <w:rPr>
          <w:rFonts w:ascii="Times New Roman" w:hAnsi="Times New Roman" w:cs="Times New Roman"/>
        </w:rPr>
        <w:t xml:space="preserve"> magisterskiej na koniec  IV semestru. </w:t>
      </w:r>
    </w:p>
    <w:p w:rsidR="00D26358" w:rsidRPr="0064089F" w:rsidRDefault="00D26358">
      <w:pPr>
        <w:pStyle w:val="Normal0"/>
        <w:spacing w:after="0" w:line="100" w:lineRule="atLeast"/>
        <w:jc w:val="both"/>
        <w:rPr>
          <w:rFonts w:ascii="Times New Roman" w:hAnsi="Times New Roman" w:cs="Times New Roman"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64089F">
        <w:rPr>
          <w:rStyle w:val="None"/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17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  <w:lang w:val="pl-PL"/>
              </w:rPr>
              <w:lastRenderedPageBreak/>
              <w:t>Liczba godzin kontaktowych z nauczyciele</w:t>
            </w:r>
            <w:bookmarkStart w:id="0" w:name="_GoBack"/>
            <w:bookmarkEnd w:id="0"/>
            <w:r w:rsidRPr="0064089F">
              <w:rPr>
                <w:rStyle w:val="None"/>
                <w:rFonts w:ascii="Times New Roman" w:hAnsi="Times New Roman" w:cs="Times New Roman"/>
                <w:lang w:val="pl-PL"/>
              </w:rPr>
              <w:t xml:space="preserve">m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120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600</w:t>
            </w:r>
          </w:p>
        </w:tc>
      </w:tr>
    </w:tbl>
    <w:p w:rsidR="00D26358" w:rsidRPr="0064089F" w:rsidRDefault="00D26358" w:rsidP="0064089F">
      <w:pPr>
        <w:pStyle w:val="Akapitzlist"/>
        <w:widowControl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D26358" w:rsidRPr="0064089F" w:rsidRDefault="00782C34" w:rsidP="0064089F">
      <w:pPr>
        <w:pStyle w:val="Akapitzlist"/>
        <w:numPr>
          <w:ilvl w:val="0"/>
          <w:numId w:val="2"/>
        </w:numPr>
        <w:spacing w:line="100" w:lineRule="atLeast"/>
        <w:rPr>
          <w:b/>
          <w:lang w:val="de-DE"/>
        </w:rPr>
      </w:pPr>
      <w:r w:rsidRPr="0064089F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D26358" w:rsidRPr="0064089F" w:rsidT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D26358" w:rsidRPr="0064089F" w:rsidRDefault="00782C34" w:rsidP="0064089F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color w:val="231F20"/>
                <w:sz w:val="22"/>
                <w:szCs w:val="22"/>
                <w:u w:color="231F20"/>
              </w:rPr>
              <w:t xml:space="preserve">Barry, Peter. </w:t>
            </w:r>
            <w:r w:rsidRPr="0064089F">
              <w:rPr>
                <w:rStyle w:val="None"/>
                <w:rFonts w:eastAsia="Calibri" w:cs="Times New Roman"/>
                <w:i/>
                <w:iCs/>
                <w:color w:val="231F20"/>
                <w:sz w:val="22"/>
                <w:szCs w:val="22"/>
                <w:u w:color="231F20"/>
              </w:rPr>
              <w:t>Beginning Theory: An Introduction to Literary and Cultural Theory</w:t>
            </w:r>
            <w:r w:rsidRPr="0064089F">
              <w:rPr>
                <w:rStyle w:val="None"/>
                <w:rFonts w:eastAsia="Calibri" w:cs="Times New Roman"/>
                <w:color w:val="231F20"/>
                <w:sz w:val="22"/>
                <w:szCs w:val="22"/>
                <w:u w:color="231F20"/>
              </w:rPr>
              <w:t>. Manchester: Manchester University Press, 1995.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</w:t>
            </w:r>
          </w:p>
          <w:p w:rsidR="00D26358" w:rsidRPr="0064089F" w:rsidRDefault="00782C34" w:rsidP="0064089F">
            <w:pPr>
              <w:pStyle w:val="Domylnie"/>
              <w:rPr>
                <w:rStyle w:val="None"/>
                <w:rFonts w:eastAsia="Calibri" w:cs="Times New Roman"/>
                <w:color w:val="231F20"/>
                <w:sz w:val="22"/>
                <w:szCs w:val="22"/>
                <w:u w:color="231F20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Gibaldi, J.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 xml:space="preserve"> MLA Handbook for Writers of Research Papers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New York, 2009.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br/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Hawthorn, Jeremy.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Studying the Novel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Bloomsbury. 2010 .</w:t>
            </w:r>
          </w:p>
          <w:p w:rsidR="00D26358" w:rsidRPr="0064089F" w:rsidRDefault="00782C34" w:rsidP="0064089F">
            <w:pPr>
              <w:pStyle w:val="Domylnie"/>
              <w:ind w:left="708" w:hanging="708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color w:val="231F20"/>
                <w:sz w:val="22"/>
                <w:szCs w:val="22"/>
                <w:u w:color="231F20"/>
              </w:rPr>
              <w:t xml:space="preserve">Herman, David, Manfred Jahn, and Marie-Laure Ryan, eds. </w:t>
            </w:r>
            <w:r w:rsidRPr="0064089F">
              <w:rPr>
                <w:rStyle w:val="None"/>
                <w:rFonts w:eastAsia="Calibri" w:cs="Times New Roman"/>
                <w:i/>
                <w:iCs/>
                <w:color w:val="231F20"/>
                <w:sz w:val="22"/>
                <w:szCs w:val="22"/>
                <w:u w:color="231F20"/>
              </w:rPr>
              <w:t xml:space="preserve">Routledge Encyclopedia of Narrative Theory. </w:t>
            </w:r>
            <w:r w:rsidRPr="0064089F">
              <w:rPr>
                <w:rStyle w:val="None"/>
                <w:rFonts w:eastAsia="Calibri" w:cs="Times New Roman"/>
                <w:color w:val="231F20"/>
                <w:sz w:val="22"/>
                <w:szCs w:val="22"/>
                <w:u w:color="231F20"/>
              </w:rPr>
              <w:t>London: Routledge, 2005.</w:t>
            </w:r>
          </w:p>
          <w:p w:rsidR="00D26358" w:rsidRPr="0064089F" w:rsidRDefault="00782C34" w:rsidP="0064089F">
            <w:pPr>
              <w:pStyle w:val="Domylnie"/>
              <w:ind w:left="708" w:hanging="708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Hühn Peter, John Pier, Wolf Schmid, and Jörg Schönert.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Handbook of Narratology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. Berlin: Walter de Gruyter, 2009. </w:t>
            </w:r>
          </w:p>
          <w:p w:rsidR="00D26358" w:rsidRPr="0064089F" w:rsidRDefault="00782C34" w:rsidP="0064089F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Mullan, John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. How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 xml:space="preserve"> Novels Work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Oxford: Oxford University Press, 2006.  </w:t>
            </w:r>
          </w:p>
          <w:p w:rsidR="00D26358" w:rsidRPr="0064089F" w:rsidRDefault="00782C34" w:rsidP="0064089F">
            <w:pPr>
              <w:pStyle w:val="NormalnyWeb"/>
              <w:spacing w:before="0"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Rimmon-Kenan, Shlomith.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Narrative Fiction: Contemporary Poetics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London: Routledge, 1999.</w:t>
            </w:r>
          </w:p>
          <w:p w:rsidR="00D26358" w:rsidRPr="0064089F" w:rsidRDefault="00D26358" w:rsidP="0064089F">
            <w:pPr>
              <w:pStyle w:val="NormalnyWeb"/>
              <w:spacing w:before="0" w:after="0"/>
              <w:rPr>
                <w:rStyle w:val="None"/>
                <w:rFonts w:eastAsia="Calibri" w:cs="Times New Roman"/>
                <w:sz w:val="22"/>
                <w:szCs w:val="22"/>
              </w:rPr>
            </w:pPr>
          </w:p>
          <w:p w:rsidR="00D26358" w:rsidRPr="0064089F" w:rsidRDefault="00782C34" w:rsidP="0064089F">
            <w:pPr>
              <w:pStyle w:val="NormalnyWeb"/>
              <w:spacing w:before="0" w:after="0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Oraz inne pozycje związane ze szczegółową tematyką seminarium.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Normal0"/>
              <w:spacing w:after="0" w:line="100" w:lineRule="atLeast"/>
              <w:rPr>
                <w:rFonts w:ascii="Times New Roman" w:hAnsi="Times New Roman" w:cs="Times New Roman"/>
              </w:rPr>
            </w:pPr>
            <w:r w:rsidRPr="0064089F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D26358" w:rsidRPr="00640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58" w:rsidRPr="0064089F" w:rsidRDefault="00782C34">
            <w:pPr>
              <w:pStyle w:val="Domylnie"/>
              <w:jc w:val="both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Bailey,  Stephen,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 xml:space="preserve"> Academic Writing: A Practical Guide for Students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London, 2004.</w:t>
            </w:r>
          </w:p>
          <w:p w:rsidR="00D26358" w:rsidRPr="0064089F" w:rsidRDefault="00782C34">
            <w:pPr>
              <w:pStyle w:val="Domylnie"/>
              <w:jc w:val="both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Bradbury, Malcolm.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The Modern British Novel.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London: Penguin, 1994.</w:t>
            </w:r>
          </w:p>
          <w:p w:rsidR="00D26358" w:rsidRPr="0064089F" w:rsidRDefault="00782C34">
            <w:pPr>
              <w:pStyle w:val="Domylnie"/>
              <w:jc w:val="both"/>
              <w:rPr>
                <w:rStyle w:val="None"/>
                <w:rFonts w:eastAsia="Calibri" w:cs="Times New Roman"/>
                <w:spacing w:val="-3"/>
                <w:sz w:val="22"/>
                <w:szCs w:val="22"/>
                <w:lang w:val="pl-PL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Burzyńska, Anna and Michał Paweł Markowski.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  <w:lang w:val="pl-PL"/>
              </w:rPr>
              <w:t>Teorie Literatury XX wieku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  <w:lang w:val="pl-PL"/>
              </w:rPr>
              <w:t>. Znak, 2006.</w:t>
            </w:r>
          </w:p>
          <w:p w:rsidR="00D26358" w:rsidRPr="0064089F" w:rsidRDefault="00782C34">
            <w:pPr>
              <w:pStyle w:val="Domylnie"/>
              <w:spacing w:line="240" w:lineRule="atLeast"/>
              <w:jc w:val="both"/>
              <w:rPr>
                <w:rStyle w:val="None"/>
                <w:rFonts w:eastAsia="Calibri" w:cs="Times New Roman"/>
                <w:spacing w:val="-3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pacing w:val="-3"/>
                <w:sz w:val="22"/>
                <w:szCs w:val="22"/>
                <w:lang w:val="de-DE"/>
              </w:rPr>
              <w:t xml:space="preserve">Kennedy, X. J. et al. </w:t>
            </w:r>
            <w:r w:rsidRPr="0064089F">
              <w:rPr>
                <w:rStyle w:val="None"/>
                <w:rFonts w:eastAsia="Calibri" w:cs="Times New Roman"/>
                <w:i/>
                <w:iCs/>
                <w:spacing w:val="-3"/>
                <w:sz w:val="22"/>
                <w:szCs w:val="22"/>
              </w:rPr>
              <w:t>The Bedford Guide</w:t>
            </w:r>
            <w:r w:rsidRPr="0064089F">
              <w:rPr>
                <w:rStyle w:val="None"/>
                <w:rFonts w:eastAsia="Calibri" w:cs="Times New Roman"/>
                <w:i/>
                <w:iCs/>
                <w:spacing w:val="-3"/>
                <w:sz w:val="22"/>
                <w:szCs w:val="22"/>
              </w:rPr>
              <w:t xml:space="preserve"> for College Writers</w:t>
            </w:r>
            <w:r w:rsidRPr="0064089F">
              <w:rPr>
                <w:rStyle w:val="None"/>
                <w:rFonts w:eastAsia="Calibri" w:cs="Times New Roman"/>
                <w:spacing w:val="-3"/>
                <w:sz w:val="22"/>
                <w:szCs w:val="22"/>
              </w:rPr>
              <w:t>. 5th ed. Boston.</w:t>
            </w:r>
          </w:p>
          <w:p w:rsidR="00D26358" w:rsidRPr="0064089F" w:rsidRDefault="00782C34">
            <w:pPr>
              <w:pStyle w:val="Domylnie"/>
              <w:spacing w:line="240" w:lineRule="atLeast"/>
              <w:jc w:val="both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pacing w:val="-3"/>
                <w:sz w:val="22"/>
                <w:szCs w:val="22"/>
              </w:rPr>
              <w:t>Klarer, Mario. An Introduction to Literary Studies. London: Routledge, 2006.</w:t>
            </w:r>
          </w:p>
          <w:p w:rsidR="00D26358" w:rsidRPr="0064089F" w:rsidRDefault="00782C34">
            <w:pPr>
              <w:pStyle w:val="Domylnie"/>
              <w:jc w:val="both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Rennison, Nick.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Contemporary British Novelists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London: Routledge, 2005.</w:t>
            </w:r>
          </w:p>
          <w:p w:rsidR="00D26358" w:rsidRPr="0064089F" w:rsidRDefault="00782C34">
            <w:pPr>
              <w:pStyle w:val="Domylnie"/>
              <w:jc w:val="both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Stamirowska, Krystyna, ed.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Współczesna powieść brytyjska: Szkice.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Kraków: Universitas, 1997.</w:t>
            </w:r>
          </w:p>
          <w:p w:rsidR="00D26358" w:rsidRPr="0064089F" w:rsidRDefault="00782C34">
            <w:pPr>
              <w:pStyle w:val="Domylnie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Teske,  Joanna Klara. ---. “Treść formy..."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Aspekty Filozoficzno-Prozatorskie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 9-16. (2004-5): 30-39.</w:t>
            </w:r>
          </w:p>
          <w:p w:rsidR="00D26358" w:rsidRPr="0064089F" w:rsidRDefault="00782C34">
            <w:pPr>
              <w:pStyle w:val="Domylnie"/>
              <w:ind w:left="708" w:hanging="708"/>
              <w:jc w:val="both"/>
              <w:rPr>
                <w:rFonts w:cs="Times New Roman"/>
                <w:sz w:val="22"/>
                <w:szCs w:val="22"/>
              </w:rPr>
            </w:pP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 xml:space="preserve">Tyson, Lois. </w:t>
            </w:r>
            <w:r w:rsidRPr="0064089F">
              <w:rPr>
                <w:rStyle w:val="None"/>
                <w:rFonts w:eastAsia="Calibri" w:cs="Times New Roman"/>
                <w:i/>
                <w:iCs/>
                <w:sz w:val="22"/>
                <w:szCs w:val="22"/>
              </w:rPr>
              <w:t>Critical Theory Today: A User-Friendly Guide</w:t>
            </w:r>
            <w:r w:rsidRPr="0064089F">
              <w:rPr>
                <w:rStyle w:val="None"/>
                <w:rFonts w:eastAsia="Calibri" w:cs="Times New Roman"/>
                <w:sz w:val="22"/>
                <w:szCs w:val="22"/>
              </w:rPr>
              <w:t>. New York: Routledge, 2006.</w:t>
            </w:r>
          </w:p>
        </w:tc>
      </w:tr>
    </w:tbl>
    <w:p w:rsidR="00D26358" w:rsidRPr="0064089F" w:rsidRDefault="00D26358" w:rsidP="0064089F">
      <w:pPr>
        <w:widowControl w:val="0"/>
        <w:rPr>
          <w:lang w:val="de-DE"/>
        </w:rPr>
      </w:pPr>
    </w:p>
    <w:sectPr w:rsidR="00D26358" w:rsidRPr="0064089F">
      <w:headerReference w:type="default" r:id="rId7"/>
      <w:footerReference w:type="default" r:id="rId8"/>
      <w:pgSz w:w="11900" w:h="16840"/>
      <w:pgMar w:top="1417" w:right="1417" w:bottom="1417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34" w:rsidRDefault="00782C34">
      <w:r>
        <w:separator/>
      </w:r>
    </w:p>
  </w:endnote>
  <w:endnote w:type="continuationSeparator" w:id="0">
    <w:p w:rsidR="00782C34" w:rsidRDefault="0078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58" w:rsidRDefault="00D263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34" w:rsidRDefault="00782C34">
      <w:r>
        <w:separator/>
      </w:r>
    </w:p>
  </w:footnote>
  <w:footnote w:type="continuationSeparator" w:id="0">
    <w:p w:rsidR="00782C34" w:rsidRDefault="0078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58" w:rsidRDefault="00782C34">
    <w:pPr>
      <w:pStyle w:val="Nagwekstrony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 do dokumentacji programowej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394"/>
    <w:multiLevelType w:val="multilevel"/>
    <w:tmpl w:val="6448B048"/>
    <w:styleLink w:val="ImportedStyle9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07BA2BC1"/>
    <w:multiLevelType w:val="multilevel"/>
    <w:tmpl w:val="4542405C"/>
    <w:numStyleLink w:val="ImportedStyle8"/>
  </w:abstractNum>
  <w:abstractNum w:abstractNumId="2" w15:restartNumberingAfterBreak="0">
    <w:nsid w:val="0C497AAF"/>
    <w:multiLevelType w:val="multilevel"/>
    <w:tmpl w:val="8D6CD3A4"/>
    <w:styleLink w:val="ImportedStyle13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0F590C50"/>
    <w:multiLevelType w:val="multilevel"/>
    <w:tmpl w:val="EC70401A"/>
    <w:styleLink w:val="ImportedStyle4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109E3420"/>
    <w:multiLevelType w:val="multilevel"/>
    <w:tmpl w:val="E4DAFB46"/>
    <w:numStyleLink w:val="ImportedStyle2"/>
  </w:abstractNum>
  <w:abstractNum w:abstractNumId="5" w15:restartNumberingAfterBreak="0">
    <w:nsid w:val="16295989"/>
    <w:multiLevelType w:val="multilevel"/>
    <w:tmpl w:val="B21C6EC4"/>
    <w:numStyleLink w:val="ImportedStyle3"/>
  </w:abstractNum>
  <w:abstractNum w:abstractNumId="6" w15:restartNumberingAfterBreak="0">
    <w:nsid w:val="19E103E1"/>
    <w:multiLevelType w:val="multilevel"/>
    <w:tmpl w:val="D7C0A3D6"/>
    <w:numStyleLink w:val="ImportedStyle10"/>
  </w:abstractNum>
  <w:abstractNum w:abstractNumId="7" w15:restartNumberingAfterBreak="0">
    <w:nsid w:val="1F165223"/>
    <w:multiLevelType w:val="multilevel"/>
    <w:tmpl w:val="E3E0C238"/>
    <w:numStyleLink w:val="ImportedStyle7"/>
  </w:abstractNum>
  <w:abstractNum w:abstractNumId="8" w15:restartNumberingAfterBreak="0">
    <w:nsid w:val="27BF0FCC"/>
    <w:multiLevelType w:val="multilevel"/>
    <w:tmpl w:val="E4DAFB46"/>
    <w:styleLink w:val="ImportedStyle2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29EA2DBA"/>
    <w:multiLevelType w:val="multilevel"/>
    <w:tmpl w:val="4542405C"/>
    <w:styleLink w:val="ImportedStyle8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332416B8"/>
    <w:multiLevelType w:val="multilevel"/>
    <w:tmpl w:val="8D6CD3A4"/>
    <w:numStyleLink w:val="ImportedStyle13"/>
  </w:abstractNum>
  <w:abstractNum w:abstractNumId="11" w15:restartNumberingAfterBreak="0">
    <w:nsid w:val="3B4B79AE"/>
    <w:multiLevelType w:val="multilevel"/>
    <w:tmpl w:val="E3E0C238"/>
    <w:styleLink w:val="ImportedStyle7"/>
    <w:lvl w:ilvl="0">
      <w:start w:val="1"/>
      <w:numFmt w:val="upperRoman"/>
      <w:lvlText w:val="%1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lvlText w:val="%2.%3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3C1129A9"/>
    <w:multiLevelType w:val="multilevel"/>
    <w:tmpl w:val="EC70401A"/>
    <w:numStyleLink w:val="ImportedStyle4"/>
  </w:abstractNum>
  <w:abstractNum w:abstractNumId="13" w15:restartNumberingAfterBreak="0">
    <w:nsid w:val="42590213"/>
    <w:multiLevelType w:val="multilevel"/>
    <w:tmpl w:val="70E47248"/>
    <w:styleLink w:val="ImportedStyle1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5C0753C6"/>
    <w:multiLevelType w:val="multilevel"/>
    <w:tmpl w:val="80F8081C"/>
    <w:numStyleLink w:val="ImportedStyle6"/>
  </w:abstractNum>
  <w:abstractNum w:abstractNumId="15" w15:restartNumberingAfterBreak="0">
    <w:nsid w:val="5F7D1B5C"/>
    <w:multiLevelType w:val="multilevel"/>
    <w:tmpl w:val="101691C2"/>
    <w:styleLink w:val="ImportedStyle12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61D563A8"/>
    <w:multiLevelType w:val="multilevel"/>
    <w:tmpl w:val="78F60210"/>
    <w:numStyleLink w:val="ImportedStyle5"/>
  </w:abstractNum>
  <w:abstractNum w:abstractNumId="17" w15:restartNumberingAfterBreak="0">
    <w:nsid w:val="63CE144E"/>
    <w:multiLevelType w:val="multilevel"/>
    <w:tmpl w:val="D7C0A3D6"/>
    <w:styleLink w:val="ImportedStyle1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 w15:restartNumberingAfterBreak="0">
    <w:nsid w:val="64E1571E"/>
    <w:multiLevelType w:val="multilevel"/>
    <w:tmpl w:val="101691C2"/>
    <w:numStyleLink w:val="ImportedStyle12"/>
  </w:abstractNum>
  <w:abstractNum w:abstractNumId="19" w15:restartNumberingAfterBreak="0">
    <w:nsid w:val="6EC4130C"/>
    <w:multiLevelType w:val="multilevel"/>
    <w:tmpl w:val="80F8081C"/>
    <w:styleLink w:val="ImportedStyle6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 w15:restartNumberingAfterBreak="0">
    <w:nsid w:val="6F056CFC"/>
    <w:multiLevelType w:val="multilevel"/>
    <w:tmpl w:val="70E47248"/>
    <w:numStyleLink w:val="ImportedStyle11"/>
  </w:abstractNum>
  <w:abstractNum w:abstractNumId="21" w15:restartNumberingAfterBreak="0">
    <w:nsid w:val="70F0775A"/>
    <w:multiLevelType w:val="multilevel"/>
    <w:tmpl w:val="A09613CA"/>
    <w:numStyleLink w:val="ImportedStyle1"/>
  </w:abstractNum>
  <w:abstractNum w:abstractNumId="22" w15:restartNumberingAfterBreak="0">
    <w:nsid w:val="71232EC9"/>
    <w:multiLevelType w:val="multilevel"/>
    <w:tmpl w:val="78F60210"/>
    <w:styleLink w:val="ImportedStyle5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77ED016D"/>
    <w:multiLevelType w:val="multilevel"/>
    <w:tmpl w:val="A09613CA"/>
    <w:styleLink w:val="ImportedStyle1"/>
    <w:lvl w:ilvl="0">
      <w:start w:val="1"/>
      <w:numFmt w:val="upperRoman"/>
      <w:lvlText w:val="%1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lvlText w:val="%2.%3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lvlText w:val="%2.%3.%4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 w15:restartNumberingAfterBreak="0">
    <w:nsid w:val="78800AB3"/>
    <w:multiLevelType w:val="multilevel"/>
    <w:tmpl w:val="B21C6EC4"/>
    <w:styleLink w:val="ImportedStyle3"/>
    <w:lvl w:ilvl="0">
      <w:start w:val="1"/>
      <w:numFmt w:val="upperRoman"/>
      <w:lvlText w:val="%1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lvlText w:val="%2.%3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lvlText w:val="%2.%3.%4."/>
      <w:lvlJc w:val="left"/>
      <w:pPr>
        <w:tabs>
          <w:tab w:val="left" w:pos="7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0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7F7D2F21"/>
    <w:multiLevelType w:val="multilevel"/>
    <w:tmpl w:val="6448B048"/>
    <w:numStyleLink w:val="ImportedStyle9"/>
  </w:abstractNum>
  <w:num w:numId="1">
    <w:abstractNumId w:val="23"/>
  </w:num>
  <w:num w:numId="2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left" w:pos="708"/>
            <w:tab w:val="num" w:pos="1416"/>
          </w:tabs>
          <w:ind w:left="720" w:firstLine="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lvlText w:val="%2.%3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2.%3.%4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8"/>
  </w:num>
  <w:num w:numId="5">
    <w:abstractNumId w:val="4"/>
  </w:num>
  <w:num w:numId="6">
    <w:abstractNumId w:val="24"/>
  </w:num>
  <w:num w:numId="7">
    <w:abstractNumId w:val="5"/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lvlText w:val="%2.%3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2.%3.%4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3"/>
  </w:num>
  <w:num w:numId="10">
    <w:abstractNumId w:val="12"/>
  </w:num>
  <w:num w:numId="11">
    <w:abstractNumId w:val="22"/>
  </w:num>
  <w:num w:numId="12">
    <w:abstractNumId w:val="16"/>
  </w:num>
  <w:num w:numId="13">
    <w:abstractNumId w:val="16"/>
    <w:lvlOverride w:ilvl="0">
      <w:lvl w:ilvl="0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>
    <w:abstractNumId w:val="19"/>
  </w:num>
  <w:num w:numId="15">
    <w:abstractNumId w:val="14"/>
  </w:num>
  <w:num w:numId="16">
    <w:abstractNumId w:val="11"/>
  </w:num>
  <w:num w:numId="17">
    <w:abstractNumId w:val="7"/>
  </w:num>
  <w:num w:numId="18">
    <w:abstractNumId w:val="7"/>
    <w:lvlOverride w:ilvl="0">
      <w:lvl w:ilvl="0">
        <w:start w:val="1"/>
        <w:numFmt w:val="upperRoman"/>
        <w:lvlText w:val="%1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lvlText w:val="%2.%3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2.%3.%4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9"/>
  </w:num>
  <w:num w:numId="20">
    <w:abstractNumId w:val="1"/>
  </w:num>
  <w:num w:numId="21">
    <w:abstractNumId w:val="0"/>
  </w:num>
  <w:num w:numId="22">
    <w:abstractNumId w:val="25"/>
  </w:num>
  <w:num w:numId="23">
    <w:abstractNumId w:val="25"/>
    <w:lvlOverride w:ilvl="0">
      <w:lvl w:ilvl="0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4">
    <w:abstractNumId w:val="17"/>
  </w:num>
  <w:num w:numId="25">
    <w:abstractNumId w:val="6"/>
  </w:num>
  <w:num w:numId="26">
    <w:abstractNumId w:val="13"/>
  </w:num>
  <w:num w:numId="27">
    <w:abstractNumId w:val="20"/>
  </w:num>
  <w:num w:numId="28">
    <w:abstractNumId w:val="15"/>
  </w:num>
  <w:num w:numId="29">
    <w:abstractNumId w:val="18"/>
  </w:num>
  <w:num w:numId="30">
    <w:abstractNumId w:val="18"/>
    <w:lvlOverride w:ilvl="0">
      <w:lvl w:ilvl="0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>
    <w:abstractNumId w:val="4"/>
    <w:lvlOverride w:ilvl="0">
      <w:startOverride w:val="2"/>
    </w:lvlOverride>
  </w:num>
  <w:num w:numId="32">
    <w:abstractNumId w:val="2"/>
  </w:num>
  <w:num w:numId="33">
    <w:abstractNumId w:val="10"/>
  </w:num>
  <w:num w:numId="34">
    <w:abstractNumId w:val="10"/>
    <w:lvlOverride w:ilvl="0">
      <w:lvl w:ilvl="0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08"/>
          </w:tabs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58"/>
    <w:rsid w:val="0064089F"/>
    <w:rsid w:val="00782C34"/>
    <w:rsid w:val="00D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19049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strony">
    <w:name w:val="Nagłówek strony"/>
    <w:pPr>
      <w:shd w:val="clear" w:color="auto" w:fill="FFFFFF"/>
      <w:tabs>
        <w:tab w:val="center" w:pos="4536"/>
        <w:tab w:val="right" w:pos="9072"/>
      </w:tabs>
      <w:suppressAutoHyphens/>
      <w:spacing w:line="100" w:lineRule="atLeast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_0"/>
    <w:pPr>
      <w:shd w:val="clear" w:color="auto" w:fill="FFFFFF"/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hd w:val="clear" w:color="auto" w:fill="FFFFFF"/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omylnie">
    <w:name w:val="Domyślnie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9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4"/>
      </w:numPr>
    </w:pPr>
  </w:style>
  <w:style w:type="numbering" w:customStyle="1" w:styleId="ImportedStyle11">
    <w:name w:val="Imported Style 11"/>
    <w:pPr>
      <w:numPr>
        <w:numId w:val="26"/>
      </w:numPr>
    </w:pPr>
  </w:style>
  <w:style w:type="numbering" w:customStyle="1" w:styleId="ImportedStyle12">
    <w:name w:val="Imported Style 12"/>
    <w:pPr>
      <w:numPr>
        <w:numId w:val="28"/>
      </w:numPr>
    </w:pPr>
  </w:style>
  <w:style w:type="numbering" w:customStyle="1" w:styleId="ImportedStyle13">
    <w:name w:val="Imported Style 13"/>
    <w:pPr>
      <w:numPr>
        <w:numId w:val="32"/>
      </w:numPr>
    </w:pPr>
  </w:style>
  <w:style w:type="paragraph" w:styleId="NormalnyWeb">
    <w:name w:val="Normal (Web)"/>
    <w:pPr>
      <w:shd w:val="clear" w:color="auto" w:fill="FFFFFF"/>
      <w:suppressAutoHyphens/>
      <w:spacing w:before="280" w:after="280" w:line="100" w:lineRule="atLeast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1807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2020-07-16T09:33:00Z</dcterms:created>
  <dcterms:modified xsi:type="dcterms:W3CDTF">2020-07-16T09:35:00Z</dcterms:modified>
</cp:coreProperties>
</file>