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72" w:rsidRPr="004E6A72" w:rsidRDefault="004E6A72" w:rsidP="004E6A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4E6A72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4E6A72" w:rsidRPr="004E6A72" w:rsidRDefault="004E6A72" w:rsidP="004E6A72">
      <w:pPr>
        <w:numPr>
          <w:ilvl w:val="0"/>
          <w:numId w:val="1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t>Dane podstawowe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54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Translatoryka - seminarium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4E6A72">
              <w:rPr>
                <w:rFonts w:ascii="Times New Roman" w:hAnsi="Times New Roman" w:cs="Times New Roman"/>
                <w:color w:val="000000"/>
              </w:rPr>
              <w:t>Translation</w:t>
            </w:r>
            <w:proofErr w:type="spellEnd"/>
            <w:r w:rsidRPr="004E6A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6A72"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  <w:r w:rsidRPr="004E6A7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E6A72">
              <w:rPr>
                <w:rFonts w:ascii="Times New Roman" w:hAnsi="Times New Roman" w:cs="Times New Roman"/>
                <w:color w:val="000000"/>
              </w:rPr>
              <w:t>Seminar</w:t>
            </w:r>
            <w:proofErr w:type="spellEnd"/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Literaturoznawstwo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4E6A72" w:rsidRPr="004E6A72" w:rsidRDefault="004E6A72" w:rsidP="004E6A72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46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Dr hab. Konrad Klimkowski</w:t>
            </w:r>
          </w:p>
        </w:tc>
      </w:tr>
    </w:tbl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52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4E6A72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I-IV</w:t>
            </w: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4E6A72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82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W1: Poziom języka B2+/C1</w:t>
            </w:r>
          </w:p>
          <w:p w:rsidR="004E6A72" w:rsidRPr="004E6A72" w:rsidRDefault="004E6A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W2: Zainteresowanie tematyką analizy przekładów, terminologii i pokrewnych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W3: Umiejętność tworzenia wypowiedzi pisemnej w gatunku tekstów naukowych w języku angielskim.</w:t>
            </w:r>
          </w:p>
        </w:tc>
      </w:tr>
    </w:tbl>
    <w:p w:rsidR="004E6A72" w:rsidRPr="004E6A72" w:rsidRDefault="004E6A72" w:rsidP="004E6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numPr>
          <w:ilvl w:val="0"/>
          <w:numId w:val="3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t xml:space="preserve">Cele kształcenia dla przedmiotu 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C1: Poziom języka w zakresie wypowiedzi pisemnej naukowej C2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C2:</w:t>
            </w:r>
            <w:r w:rsidRPr="004E6A72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4E6A72">
              <w:rPr>
                <w:rFonts w:ascii="Times New Roman" w:hAnsi="Times New Roman" w:cs="Times New Roman"/>
                <w:color w:val="000000"/>
              </w:rPr>
              <w:t xml:space="preserve">Zaznajomienie z przedmiotem i metodami badań translatorskich oraz zarysem najważniejszych pojęć z zakresu teorii translacji (historia, proces, produkt, dydaktyka, związki z innymi dziedzinami wiedzy); 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C3: Opracowanie koncepcji pracy magisterskiej jako wyprofilowanej celowościowo. Pojęcia dziedziny badań, problemu badawczego i celów badawczych; 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C4 - Wypracowanie umiejętności i narzędzi do samodzielnego opracowywania korpusu badawczego oraz do napisania pracy magisterskiej.</w:t>
            </w:r>
          </w:p>
        </w:tc>
      </w:tr>
    </w:tbl>
    <w:p w:rsidR="004E6A72" w:rsidRPr="004E6A72" w:rsidRDefault="004E6A72" w:rsidP="004E6A72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numPr>
          <w:ilvl w:val="0"/>
          <w:numId w:val="5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t>Efekty uczenia się dla przedmiotu wraz z odniesieniem do efektów kierunkowych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60"/>
        <w:gridCol w:w="332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zestawia</w:t>
            </w:r>
            <w:r w:rsidRPr="004E6A72">
              <w:rPr>
                <w:rFonts w:ascii="Times New Roman" w:hAnsi="Times New Roman" w:cs="Times New Roman"/>
                <w:color w:val="000000"/>
              </w:rPr>
              <w:t xml:space="preserve"> i 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analizuje</w:t>
            </w:r>
            <w:r w:rsidRPr="004E6A72">
              <w:rPr>
                <w:rFonts w:ascii="Times New Roman" w:hAnsi="Times New Roman" w:cs="Times New Roman"/>
                <w:color w:val="000000"/>
              </w:rPr>
              <w:t xml:space="preserve"> w pogłębiony sposób wybrane fakty i zjawiska oraz towarzyszącą im terminologię w zakresie: języka, komunikacji i translacyjnym.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K_W01, KW_02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sytuuje</w:t>
            </w:r>
            <w:r w:rsidRPr="004E6A72">
              <w:rPr>
                <w:rFonts w:ascii="Times New Roman" w:hAnsi="Times New Roman" w:cs="Times New Roman"/>
                <w:color w:val="000000"/>
              </w:rPr>
              <w:t xml:space="preserve"> zjawiska komunikacyjne i kulturowe (oraz przyporządkowane im teksty) w kontekstach własnej edukacji filologicznej oraz w poszukiwaniu metod rozwiazywania istotnych dylematów cywilizacji współczesnej (np. komunikacji wielokulturowej - w tym komunikacji w biznesie)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K_W07, K_W08,  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K_W04,K_W05,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Student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demonstruje </w:t>
            </w:r>
            <w:r w:rsidRPr="004E6A72">
              <w:rPr>
                <w:rFonts w:ascii="Times New Roman" w:hAnsi="Times New Roman" w:cs="Times New Roman"/>
                <w:color w:val="000000"/>
              </w:rPr>
              <w:t>zaawansowane metody analizy i interpretacji wszelkiego rodzaju tekstów właściwe dla analizy translacyjnej (produkt – proces) i translacyjno-porównawczej (oryginał – przekład)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KW_09, KW_10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dokonuje </w:t>
            </w:r>
            <w:r w:rsidRPr="004E6A72">
              <w:rPr>
                <w:rFonts w:ascii="Times New Roman" w:hAnsi="Times New Roman" w:cs="Times New Roman"/>
                <w:color w:val="000000"/>
              </w:rPr>
              <w:t>syntezy i twórczej interpretacji uzyskanych informacji z wykorzystaniem wiedzy ogólnej i szczegółowej (specjalizacji badawczej)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K_U01, K_U02, 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Student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przygotowuje </w:t>
            </w:r>
            <w:r w:rsidRPr="004E6A72">
              <w:rPr>
                <w:rFonts w:ascii="Times New Roman" w:hAnsi="Times New Roman" w:cs="Times New Roman"/>
                <w:color w:val="000000"/>
              </w:rPr>
              <w:t>pisemne prace naukowe w języku angielskim, posługując się przy tym źródłami pomocniczymi wraz z syntetycznymi tekstami i wizualizacjami dotyczącymi tych prac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K_U03, K_U06, K_U07, K_U12, K_U09, K_U08, K_U10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Student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formułuje </w:t>
            </w:r>
            <w:r w:rsidRPr="004E6A72">
              <w:rPr>
                <w:rFonts w:ascii="Times New Roman" w:hAnsi="Times New Roman" w:cs="Times New Roman"/>
                <w:color w:val="000000"/>
              </w:rPr>
              <w:t>opinie krytyczne o wytworach intelektualnych w zakresie analizy translacyjnej (produkt – proces) i translacyjno-porównawczej (oryginał – przekład) i krytycznie ocenia posiadaną wiedzę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K_K01, K_K02, K_K03, 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lastRenderedPageBreak/>
              <w:t>K_02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Student</w:t>
            </w: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planuje i wykonuje </w:t>
            </w:r>
            <w:r w:rsidRPr="004E6A72">
              <w:rPr>
                <w:rFonts w:ascii="Times New Roman" w:hAnsi="Times New Roman" w:cs="Times New Roman"/>
                <w:color w:val="000000"/>
              </w:rPr>
              <w:t>pracę dyplomową jako projektową: z uwzględnieniem priorytetów oraz działań mających na celu rozwój zawodowy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K_K08, K_K06, K_K07</w:t>
            </w:r>
          </w:p>
        </w:tc>
      </w:tr>
    </w:tbl>
    <w:p w:rsidR="004E6A72" w:rsidRPr="004E6A72" w:rsidRDefault="004E6A72" w:rsidP="004E6A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numPr>
          <w:ilvl w:val="0"/>
          <w:numId w:val="7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t>Opis przedmiotu/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1. Organizacja pracy: kalendarz zajęć i zadań. Koncepcja pracy. Zakresy tematyczne prac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2. Podstawy teorii i metodologii: główne nurty teoretyczne i metodologiczne. Perspektywa interdyscyplinarna.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 xml:space="preserve">3. Metoda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brainstormingu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 xml:space="preserve"> i kategoryzacja jako narzędzia pracy przy tworzeniu korpusu danych.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4. Przedmiot badań, problem badawczy, cele badawcze i metody. Ku pierwszemu sformułowaniu roboczej wersji koncepcji pracy.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5. Metody poszukiwania literatury przedmiotowej.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6. Zagadnienia pisarstwa naukowego. Filtr kulturowy na tekst, pojęcie akapitu, interferencje gramatyczne i różnice funkcjonalne pomiędzy konstrukcjami leksykalno-gramatycznymi w językach polskim i angielskim.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7. Tło teoretyczne w pracy badawczej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Default="004E6A72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A1A1A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8. Bibliografia, cytowania i problematyka plagiatu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9. Konsultacje i opieka nad indywidualnymi projektami prac.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</w:p>
        </w:tc>
      </w:tr>
    </w:tbl>
    <w:p w:rsidR="004E6A72" w:rsidRPr="004E6A72" w:rsidRDefault="004E6A72" w:rsidP="004E6A72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numPr>
          <w:ilvl w:val="0"/>
          <w:numId w:val="10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t>Metody realizacji i weryfikacji efektów uczenia się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600"/>
        <w:gridCol w:w="392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 wprowadzający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Burza mózgów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z tekstem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Odpowiedź ustna i informacja zwrotna od grupy lub prowadzącego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Oceniony tekst pracy pisemnej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 wprowadzający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Burza mózgów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z tekstem</w:t>
            </w:r>
            <w:r w:rsidRPr="004E6A72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4E6A72">
              <w:rPr>
                <w:rFonts w:ascii="Times New Roman" w:hAnsi="Times New Roman" w:cs="Times New Roman"/>
                <w:color w:val="000000"/>
              </w:rPr>
              <w:t>Metoda projektu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Odpowiedź ustna i informacja zwrotna od grupy lub prowadzącego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Oceniony tekst pracy pisemnej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 wprowadzający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z tekstem</w:t>
            </w:r>
            <w:r w:rsidRPr="004E6A72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4E6A72">
              <w:rPr>
                <w:rFonts w:ascii="Times New Roman" w:hAnsi="Times New Roman" w:cs="Times New Roman"/>
                <w:color w:val="000000"/>
              </w:rPr>
              <w:t>Metoda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Odpowiedź ustna i informacja zwrotna od grupy lub prowadzącego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Oceniony tekst pracy pisemnej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lastRenderedPageBreak/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 wprowadzający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w grupach/indywidualna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pod kierunkiem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Odpowiedź ustna i informacja zwrotna od grupy lub prowadzącego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Oceniony tekst pracy pisemnej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magisterska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Wykład wprowadzający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Metoda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pod kierunkiem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Odpowiedź ustna i informacja zwrotna od grupy lub prowadzącego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Oceniony tekst pracy pisemnej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magisterska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E6A72" w:rsidRPr="004E6A72" w:rsidRDefault="004E6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Metoda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w grupach/parach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Przygotowanie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Metoda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Praca w grupach/parach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Przygotowanie projektu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</w:tbl>
    <w:p w:rsidR="004E6A72" w:rsidRPr="004E6A72" w:rsidRDefault="004E6A72" w:rsidP="004E6A72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numPr>
          <w:ilvl w:val="0"/>
          <w:numId w:val="12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bCs/>
          <w:color w:val="000000"/>
        </w:rPr>
        <w:t>Kryteria oceny, wagi</w:t>
      </w: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E6A72">
        <w:rPr>
          <w:rFonts w:ascii="Times New Roman" w:hAnsi="Times New Roman" w:cs="Times New Roman"/>
          <w:b/>
          <w:bCs/>
          <w:color w:val="000000"/>
        </w:rPr>
        <w:t>Tabela zadań i punktów: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000"/>
        <w:gridCol w:w="422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pkty</w:t>
            </w:r>
            <w:proofErr w:type="spellEnd"/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Korpus danych do analizy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Kategoryzacja danych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Struktura projektu i plan pracy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Draft rozdziału analitycznego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Rozdział(y) analityczny(e)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Część teoretyczna pracy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Wersja pierwsza (draft) całej pracy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Wersja ostateczna pracy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A72">
              <w:rPr>
                <w:rFonts w:ascii="Times New Roman" w:hAnsi="Times New Roman" w:cs="Times New Roman"/>
                <w:b/>
                <w:bCs/>
                <w:color w:val="000000"/>
              </w:rPr>
              <w:t>150 pkt</w:t>
            </w:r>
          </w:p>
        </w:tc>
      </w:tr>
    </w:tbl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E6A72">
        <w:rPr>
          <w:rFonts w:ascii="Times New Roman" w:hAnsi="Times New Roman" w:cs="Times New Roman"/>
          <w:b/>
          <w:bCs/>
          <w:color w:val="000000"/>
        </w:rPr>
        <w:t>Zaliczenie poszczególnych semestrów wynika z powyższej punktacji oraz z indywidualnych planów realizacji projektu dla każdego uczestnika seminarium.</w:t>
      </w:r>
    </w:p>
    <w:p w:rsid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pStyle w:val="Akapitzlist"/>
        <w:numPr>
          <w:ilvl w:val="0"/>
          <w:numId w:val="12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4E6A72">
        <w:rPr>
          <w:rFonts w:ascii="Times New Roman" w:hAnsi="Times New Roman" w:cs="Times New Roman"/>
          <w:b/>
          <w:color w:val="000000"/>
        </w:rPr>
        <w:lastRenderedPageBreak/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54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 xml:space="preserve"> 536 (+56 e-learning)</w:t>
            </w:r>
          </w:p>
        </w:tc>
      </w:tr>
    </w:tbl>
    <w:p w:rsidR="004E6A72" w:rsidRPr="004E6A72" w:rsidRDefault="004E6A72" w:rsidP="004E6A72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4E6A72" w:rsidRPr="004E6A72" w:rsidRDefault="004E6A72" w:rsidP="004E6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E6A72" w:rsidRPr="004E6A72" w:rsidRDefault="004E6A72" w:rsidP="004E6A72">
      <w:pPr>
        <w:numPr>
          <w:ilvl w:val="0"/>
          <w:numId w:val="15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bookmarkStart w:id="0" w:name="_GoBack"/>
      <w:r w:rsidRPr="004E6A72">
        <w:rPr>
          <w:rFonts w:ascii="Times New Roman" w:hAnsi="Times New Roman" w:cs="Times New Roman"/>
          <w:b/>
          <w:color w:val="000000"/>
          <w:kern w:val="1"/>
        </w:rPr>
        <w:tab/>
      </w:r>
      <w:r w:rsidRPr="004E6A72">
        <w:rPr>
          <w:rFonts w:ascii="Times New Roman" w:hAnsi="Times New Roman" w:cs="Times New Roman"/>
          <w:b/>
          <w:color w:val="000000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bookmarkEnd w:id="0"/>
          <w:p w:rsidR="004E6A72" w:rsidRPr="004E6A72" w:rsidRDefault="004E6A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Venuti, L. 2000. The Translation Studies Leader. London: Routledge.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Munday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, J. 2001. Introducing Translation Studies: Theories and Applications. 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London: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Routledge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>. </w:t>
            </w:r>
          </w:p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1A1A1A"/>
              </w:rPr>
              <w:t>Heydel, M. and Bukowski, P. (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eds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>.). 2009. Współczesne teorie przekładu. Antologia. Kraków: Znak.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Pisarska, A. &amp; Tomaszkiewicz, T. 1998. Współczesne tendencje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przekładoznawcze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 xml:space="preserve"> – podręcznik dla studentów neofilologii. Poznań: Wyd. Naukowe UAM w Poznaniu. </w:t>
            </w:r>
          </w:p>
        </w:tc>
      </w:tr>
      <w:tr w:rsidR="004E6A72" w:rsidRPr="004E6A72" w:rsidTr="004E6A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4E6A72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4E6A72" w:rsidRPr="004E6A72" w:rsidTr="004E6A7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E6A72" w:rsidRPr="004E6A72" w:rsidRDefault="004E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Chesterman, A. 2004. Memes of translation. Amsterdam: John Benjamins Publishing.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Cronin, M., Kenny, D., and Pearson, J. (eds.). 1998. Unity in Diversity? Current Trends in Translation Studies. Manchester: St. Jerome Publishing.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Hatim, B. &amp; Mason, I. 1996. The Translator as Communicator. London: Routledge.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Hatim, B. 2001. Teaching and Researching Translation. London: Longman.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Hejwowski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, K. 2004. </w:t>
            </w:r>
            <w:r w:rsidRPr="004E6A72">
              <w:rPr>
                <w:rFonts w:ascii="Times New Roman" w:hAnsi="Times New Roman" w:cs="Times New Roman"/>
                <w:color w:val="1A1A1A"/>
              </w:rPr>
              <w:t>Kognitywno-komunikacyjna teoria przekładu. Warszawa: PWN.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Munday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 xml:space="preserve">, J. &amp;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Hatim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 xml:space="preserve">, B. 2004. 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Translation: An Advanced Resource Book. London: Routledge.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Newmark, P. 1988. A Textbook of Translation. 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New York: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Prentice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 xml:space="preserve"> Hall.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Pieńkos, J. 2003. Podstawy przekładoznawstwa. Od teorii do praktyki. 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Kraków: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Zakamycze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Pym, A. 2010. Exploring Translation Theories. London: Routledge.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Robinson, D. 2002. Western Translation Theory. Manchester: St. Jerome.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Robinson, D. 2003. Becoming a Translator: An Introduction to the Theory and Practice of Translation. 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London: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Routledge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>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</w:rPr>
              <w:t>Sadkowski, W. 2002. Odpowiednie dać rzeczy słowo. Kraków: Pruszyński i S-ka.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Samuelsson-Brown, G. 2004. A Practical Guide for Translators.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Clevedon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: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>Mutlilingual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 Matters. </w:t>
            </w:r>
            <w:r w:rsidRPr="004E6A72">
              <w:rPr>
                <w:rFonts w:ascii="MS Mincho" w:eastAsia="MS Mincho" w:hAnsi="MS Mincho" w:cs="MS Mincho" w:hint="eastAsia"/>
                <w:color w:val="1A1A1A"/>
                <w:lang w:val="en-US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  <w:lang w:val="en-US"/>
              </w:rPr>
              <w:t xml:space="preserve">Snell-Hornby, M. 2006. The Turns of Translation Studies. New paradigms or shifting viewpoints? </w:t>
            </w:r>
            <w:r w:rsidRPr="004E6A72">
              <w:rPr>
                <w:rFonts w:ascii="Times New Roman" w:hAnsi="Times New Roman" w:cs="Times New Roman"/>
                <w:color w:val="1A1A1A"/>
              </w:rPr>
              <w:t xml:space="preserve">Amsterdam: John </w:t>
            </w:r>
            <w:proofErr w:type="spellStart"/>
            <w:r w:rsidRPr="004E6A72">
              <w:rPr>
                <w:rFonts w:ascii="Times New Roman" w:hAnsi="Times New Roman" w:cs="Times New Roman"/>
                <w:color w:val="1A1A1A"/>
              </w:rPr>
              <w:t>Benjamins</w:t>
            </w:r>
            <w:proofErr w:type="spellEnd"/>
            <w:r w:rsidRPr="004E6A72">
              <w:rPr>
                <w:rFonts w:ascii="Times New Roman" w:hAnsi="Times New Roman" w:cs="Times New Roman"/>
                <w:color w:val="1A1A1A"/>
              </w:rPr>
              <w:t>. </w:t>
            </w:r>
            <w:r w:rsidRPr="004E6A72">
              <w:rPr>
                <w:rFonts w:ascii="MS Mincho" w:eastAsia="MS Mincho" w:hAnsi="MS Mincho" w:cs="MS Mincho" w:hint="eastAsia"/>
                <w:color w:val="1A1A1A"/>
              </w:rPr>
              <w:t> </w:t>
            </w:r>
            <w:r w:rsidRPr="004E6A72">
              <w:rPr>
                <w:rFonts w:ascii="Times New Roman" w:hAnsi="Times New Roman" w:cs="Times New Roman"/>
                <w:color w:val="1A1A1A"/>
              </w:rPr>
              <w:t>Wojtasiewicz, O. 1996. Wstęp do teorii tłumaczenia. Warszawa: TEPIS.</w:t>
            </w:r>
          </w:p>
        </w:tc>
      </w:tr>
    </w:tbl>
    <w:p w:rsidR="001C7D18" w:rsidRPr="004E6A72" w:rsidRDefault="001C7D18">
      <w:pPr>
        <w:rPr>
          <w:rFonts w:ascii="Times New Roman" w:hAnsi="Times New Roman" w:cs="Times New Roman"/>
        </w:rPr>
      </w:pPr>
    </w:p>
    <w:sectPr w:rsidR="001C7D18" w:rsidRPr="004E6A72" w:rsidSect="00FE02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F6" w:rsidRDefault="005C4CF6" w:rsidP="004E6A72">
      <w:r>
        <w:separator/>
      </w:r>
    </w:p>
  </w:endnote>
  <w:endnote w:type="continuationSeparator" w:id="0">
    <w:p w:rsidR="005C4CF6" w:rsidRDefault="005C4CF6" w:rsidP="004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F6" w:rsidRDefault="005C4CF6" w:rsidP="004E6A72">
      <w:r>
        <w:separator/>
      </w:r>
    </w:p>
  </w:footnote>
  <w:footnote w:type="continuationSeparator" w:id="0">
    <w:p w:rsidR="005C4CF6" w:rsidRDefault="005C4CF6" w:rsidP="004E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72" w:rsidRPr="004E6A72" w:rsidRDefault="004E6A72" w:rsidP="004E6A72">
    <w:pPr>
      <w:pStyle w:val="Nagwek"/>
      <w:jc w:val="right"/>
      <w:rPr>
        <w:rFonts w:ascii="Times New Roman" w:hAnsi="Times New Roman" w:cs="Times New Roman"/>
        <w:i/>
      </w:rPr>
    </w:pPr>
    <w:r w:rsidRPr="004E6A72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72"/>
    <w:rsid w:val="001C7D18"/>
    <w:rsid w:val="004E6A72"/>
    <w:rsid w:val="005C4CF6"/>
    <w:rsid w:val="006A36D9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5FC5E"/>
  <w15:chartTrackingRefBased/>
  <w15:docId w15:val="{22B07462-2513-DD48-A74D-96CFC53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72"/>
  </w:style>
  <w:style w:type="paragraph" w:styleId="Stopka">
    <w:name w:val="footer"/>
    <w:basedOn w:val="Normalny"/>
    <w:link w:val="StopkaZnak"/>
    <w:uiPriority w:val="99"/>
    <w:unhideWhenUsed/>
    <w:rsid w:val="004E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A72"/>
  </w:style>
  <w:style w:type="paragraph" w:styleId="Akapitzlist">
    <w:name w:val="List Paragraph"/>
    <w:basedOn w:val="Normalny"/>
    <w:uiPriority w:val="34"/>
    <w:qFormat/>
    <w:rsid w:val="004E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1187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2020-10-04T16:55:00Z</dcterms:created>
  <dcterms:modified xsi:type="dcterms:W3CDTF">2020-10-04T16:59:00Z</dcterms:modified>
</cp:coreProperties>
</file>