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6A" w:rsidRPr="00D7776A" w:rsidRDefault="00D7776A" w:rsidP="00D777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D7776A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D7776A" w:rsidRPr="00D7776A" w:rsidRDefault="00D7776A" w:rsidP="00D7776A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D7776A">
        <w:rPr>
          <w:rFonts w:ascii="Times New Roman" w:hAnsi="Times New Roman" w:cs="Times New Roman"/>
          <w:b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D7776A" w:rsidRPr="00D7776A" w:rsidTr="00D7776A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Wybrane zagadnienia translatoryki II</w:t>
            </w:r>
          </w:p>
        </w:tc>
      </w:tr>
      <w:tr w:rsidR="00D7776A" w:rsidRPr="003C7AC1" w:rsidTr="00D7776A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  <w:lang w:val="en-US"/>
              </w:rPr>
            </w:pP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Trends and Turns in Translation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Językoznawstwo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Literatura</w:t>
            </w:r>
          </w:p>
        </w:tc>
      </w:tr>
      <w:tr w:rsidR="00D7776A" w:rsidRPr="00D7776A" w:rsidTr="00D7776A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D7776A" w:rsidRPr="00D7776A" w:rsidRDefault="00D7776A" w:rsidP="00D7776A">
      <w:p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D7776A" w:rsidRPr="00D7776A" w:rsidTr="00D7776A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Dr Mark Ó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Fionnáin</w:t>
            </w:r>
            <w:proofErr w:type="spellEnd"/>
          </w:p>
        </w:tc>
      </w:tr>
    </w:tbl>
    <w:p w:rsidR="00D7776A" w:rsidRPr="00D7776A" w:rsidRDefault="00D7776A" w:rsidP="00D7776A">
      <w:pPr>
        <w:autoSpaceDE w:val="0"/>
        <w:autoSpaceDN w:val="0"/>
        <w:adjustRightInd w:val="0"/>
        <w:ind w:left="3" w:hanging="3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120"/>
        <w:gridCol w:w="2120"/>
        <w:gridCol w:w="3387"/>
      </w:tblGrid>
      <w:tr w:rsidR="00D7776A" w:rsidRPr="00D7776A" w:rsidTr="00D7776A"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Forma zajęć (katalog zamknięty ze słownika)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III</w:t>
            </w:r>
          </w:p>
        </w:tc>
        <w:tc>
          <w:tcPr>
            <w:tcW w:w="33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 7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7776A" w:rsidRPr="00D7776A" w:rsidTr="00D7776A"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62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Znajomość języka angielskiego i podstawowych zagadnień z zakresu translacji i dziejów kultury</w:t>
            </w:r>
          </w:p>
        </w:tc>
      </w:tr>
    </w:tbl>
    <w:p w:rsidR="00D7776A" w:rsidRDefault="00D7776A" w:rsidP="00D7776A">
      <w:pPr>
        <w:autoSpaceDE w:val="0"/>
        <w:autoSpaceDN w:val="0"/>
        <w:adjustRightInd w:val="0"/>
        <w:ind w:left="3" w:hanging="3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autoSpaceDE w:val="0"/>
        <w:autoSpaceDN w:val="0"/>
        <w:adjustRightInd w:val="0"/>
        <w:ind w:left="3" w:hanging="3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numPr>
          <w:ilvl w:val="0"/>
          <w:numId w:val="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200" w:line="276" w:lineRule="auto"/>
        <w:ind w:left="1080" w:hanging="720"/>
        <w:rPr>
          <w:rFonts w:ascii="Times New Roman" w:hAnsi="Times New Roman" w:cs="Times New Roman"/>
          <w:b/>
          <w:color w:val="000000"/>
        </w:rPr>
      </w:pPr>
      <w:r w:rsidRPr="00D7776A">
        <w:rPr>
          <w:rFonts w:ascii="Times New Roman" w:hAnsi="Times New Roman" w:cs="Times New Roman"/>
          <w:b/>
          <w:color w:val="000000"/>
        </w:rPr>
        <w:lastRenderedPageBreak/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7776A" w:rsidRPr="00D7776A" w:rsidTr="00D7776A"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C1 Celem kursu jest przedstawienie roli tłumacza w rozwoju (nauki) translatoryki.</w:t>
            </w:r>
          </w:p>
        </w:tc>
      </w:tr>
      <w:tr w:rsidR="00D7776A" w:rsidRPr="00D7776A" w:rsidTr="00D7776A"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C2 Celem kursu jest przedstawienie zarysu historii tłumaczeń i translatoryki.</w:t>
            </w:r>
          </w:p>
        </w:tc>
      </w:tr>
    </w:tbl>
    <w:p w:rsidR="00D7776A" w:rsidRPr="00D7776A" w:rsidRDefault="00D7776A" w:rsidP="00D7776A">
      <w:p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left="798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numPr>
          <w:ilvl w:val="0"/>
          <w:numId w:val="7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200" w:line="276" w:lineRule="auto"/>
        <w:ind w:left="1080" w:hanging="720"/>
        <w:rPr>
          <w:rFonts w:ascii="Times New Roman" w:hAnsi="Times New Roman" w:cs="Times New Roman"/>
          <w:b/>
          <w:color w:val="000000"/>
        </w:rPr>
      </w:pPr>
      <w:r w:rsidRPr="00D7776A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640"/>
        <w:gridCol w:w="3207"/>
      </w:tblGrid>
      <w:tr w:rsidR="00D7776A" w:rsidRPr="00D7776A" w:rsidTr="00D7776A"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Student wymienia i wyjaśnia zaawansowane terminy z zakresu technik tłumaczeniowych w odniesieniu do różnych typów tekstów i zadań translatorskich.</w:t>
            </w:r>
          </w:p>
        </w:tc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ST_W01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Student identyfikuje</w:t>
            </w:r>
            <w:r w:rsidRPr="00D777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7776A">
              <w:rPr>
                <w:rFonts w:ascii="Times New Roman" w:hAnsi="Times New Roman" w:cs="Times New Roman"/>
                <w:color w:val="000000"/>
              </w:rPr>
              <w:t>podstawowe mechanizmy i problemy translacji w obrębie języka angielskiego i polskiego.</w:t>
            </w:r>
          </w:p>
        </w:tc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 ST_W02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Student charakteryzuje i streszcza wpływ kontekstu kulturowego oraz zastosowanego sposobu wyrażania treści na proces komunikacji. </w:t>
            </w:r>
          </w:p>
        </w:tc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ST_W03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Student zastosowuje właściwe techniki przekładu różnych rodzajów tekstów i wystąpień ustnych, zarówno ogólnych jak i specjalistycznych.</w:t>
            </w:r>
          </w:p>
        </w:tc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 ST_U01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Student analizuje teksty lub wystąpienia ustne i na tej podstawie wybiera właściwą strategię tłumaczeniową oraz dokonuje przekładu w obrębie języka polskiego i angielskiego.</w:t>
            </w:r>
          </w:p>
        </w:tc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ST_U02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Student samodzielnie szacuje stan posiadanej wiedzy oraz weryfikuje zdobyte umiejętności tłumaczeniowe i wiedzę merytoryczną dotyczącą tłumaczeń.</w:t>
            </w:r>
          </w:p>
        </w:tc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ST_K01 </w:t>
            </w:r>
          </w:p>
        </w:tc>
      </w:tr>
      <w:tr w:rsidR="00D7776A" w:rsidRPr="00D7776A" w:rsidTr="00D7776A"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Student zachowuje otwartość na pogłębianie wiedzy oraz poszerzanie kompetencji językowych podczas wykonywania powierzonych zadań tłumaczeniowych.</w:t>
            </w:r>
          </w:p>
        </w:tc>
        <w:tc>
          <w:tcPr>
            <w:tcW w:w="32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ST_K02</w:t>
            </w:r>
          </w:p>
        </w:tc>
      </w:tr>
    </w:tbl>
    <w:p w:rsidR="00D7776A" w:rsidRDefault="00D7776A" w:rsidP="00D7776A">
      <w:pPr>
        <w:autoSpaceDE w:val="0"/>
        <w:autoSpaceDN w:val="0"/>
        <w:adjustRightInd w:val="0"/>
        <w:spacing w:after="200"/>
        <w:ind w:left="360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autoSpaceDE w:val="0"/>
        <w:autoSpaceDN w:val="0"/>
        <w:adjustRightInd w:val="0"/>
        <w:spacing w:after="200"/>
        <w:ind w:left="360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numPr>
          <w:ilvl w:val="0"/>
          <w:numId w:val="8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200" w:line="276" w:lineRule="auto"/>
        <w:ind w:left="1080" w:hanging="720"/>
        <w:rPr>
          <w:rFonts w:ascii="Times New Roman" w:hAnsi="Times New Roman" w:cs="Times New Roman"/>
          <w:b/>
          <w:color w:val="000000"/>
        </w:rPr>
      </w:pPr>
      <w:r w:rsidRPr="00D7776A">
        <w:rPr>
          <w:rFonts w:ascii="Times New Roman" w:hAnsi="Times New Roman" w:cs="Times New Roman"/>
          <w:b/>
          <w:color w:val="000000"/>
        </w:rPr>
        <w:lastRenderedPageBreak/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7776A" w:rsidRPr="00D7776A" w:rsidTr="00D7776A"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Poniżej lista topików do dyskusji: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Teoria Translatoryki do 20. wieku: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Luther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, Dryden,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Dolet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Tytler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Schleiermacher</w:t>
            </w:r>
            <w:proofErr w:type="spellEnd"/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Teoria ekwiwalencji: Jakobson, Nida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Procesy tłumaczenia: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Vinay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Darbelnet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Catford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Levý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Popovič</w:t>
            </w:r>
            <w:proofErr w:type="spellEnd"/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Teorie działania (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Skoposu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Teorie systemu: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Toury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>, Evan-Zohar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Podejście kulturalne i ideologiczne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Rola tłumacza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Języki mniejszościowe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Konteksty kulturalne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Tłumaczenie i opór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Tłumaczenie w obrębie jednego języka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Biznes</w:t>
            </w:r>
          </w:p>
        </w:tc>
      </w:tr>
    </w:tbl>
    <w:p w:rsidR="00D7776A" w:rsidRPr="00D7776A" w:rsidRDefault="00D7776A" w:rsidP="00D7776A">
      <w:p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left="798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numPr>
          <w:ilvl w:val="0"/>
          <w:numId w:val="11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200" w:line="276" w:lineRule="auto"/>
        <w:ind w:left="1080" w:hanging="720"/>
        <w:rPr>
          <w:rFonts w:ascii="Times New Roman" w:hAnsi="Times New Roman" w:cs="Times New Roman"/>
          <w:b/>
          <w:color w:val="000000"/>
        </w:rPr>
      </w:pPr>
      <w:r w:rsidRPr="00D7776A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40"/>
        <w:gridCol w:w="2600"/>
        <w:gridCol w:w="3807"/>
      </w:tblGrid>
      <w:tr w:rsidR="00D7776A" w:rsidRPr="00D7776A" w:rsidTr="00D7776A"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(lista wyboru)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(lista wyboru)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(lista wyboru)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center" w:pos="4536"/>
                <w:tab w:val="right" w:pos="9046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Dyskusja, analiza tekstu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Obserwacja, sprawdzian pisemny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Zapis w arkuszu ocen, Sprawdzony test / Sprawdzian pisemny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center" w:pos="4536"/>
                <w:tab w:val="right" w:pos="9046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Dyskusja, analiza tekstu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Obserwacja, sprawdzian pisemny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Zapis w arkuszu ocen, Sprawdzony test / Sprawdzian pisemny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tabs>
                <w:tab w:val="center" w:pos="4536"/>
                <w:tab w:val="right" w:pos="9046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Dyskusja, analiza tekstu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Obserwacja, sprawdzian pisemny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Zapis w arkuszu ocen, Sprawdzony test / Sprawdzian pisemny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Dyskusja, praca indywidualna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Zapis w arkuszu ocen,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Dyskusja, praca indywidualna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Zapis w arkuszu ocen,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Dyskusja, praca w grupach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Zapis w arkuszu ocen,</w:t>
            </w:r>
          </w:p>
        </w:tc>
      </w:tr>
      <w:tr w:rsidR="00D7776A" w:rsidRPr="00D7776A" w:rsidTr="00D7776A"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Dyskusja, praca w grupach</w:t>
            </w:r>
          </w:p>
        </w:tc>
        <w:tc>
          <w:tcPr>
            <w:tcW w:w="2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Obserwacja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Zapis w arkuszu ocen,</w:t>
            </w:r>
          </w:p>
        </w:tc>
      </w:tr>
    </w:tbl>
    <w:p w:rsidR="00D7776A" w:rsidRDefault="00D7776A" w:rsidP="00D7776A">
      <w:p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left="723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left="723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numPr>
          <w:ilvl w:val="0"/>
          <w:numId w:val="1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200" w:line="276" w:lineRule="auto"/>
        <w:ind w:left="1080" w:hanging="720"/>
        <w:rPr>
          <w:rFonts w:ascii="Times New Roman" w:hAnsi="Times New Roman" w:cs="Times New Roman"/>
          <w:color w:val="000000"/>
        </w:rPr>
      </w:pPr>
      <w:r w:rsidRPr="00D7776A">
        <w:rPr>
          <w:rFonts w:ascii="Times New Roman" w:hAnsi="Times New Roman" w:cs="Times New Roman"/>
          <w:b/>
          <w:bCs/>
          <w:color w:val="000000"/>
        </w:rPr>
        <w:lastRenderedPageBreak/>
        <w:t>Kryteria oceny, wagi…</w:t>
      </w:r>
    </w:p>
    <w:p w:rsidR="003C7AC1" w:rsidRPr="003C7AC1" w:rsidRDefault="003C7AC1" w:rsidP="003C7AC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bookmarkStart w:id="0" w:name="_GoBack"/>
      <w:bookmarkEnd w:id="0"/>
      <w:r w:rsidRPr="003C7AC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</w:r>
      <w:r w:rsidRPr="003C7AC1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Studenci oceniani są na podstawie testu zaliczeniowego, wymagającego wykazania praktycznej znajomości translatoryki i historii tłumaczeń (75%). W końcowej ocenie brane pod uwagę jest również zaangażowanie i aktywność studenta w dyskusjach podczas zajęć oraz udział studenta w pracy indywidualnej i w grupach (25%).</w:t>
      </w:r>
    </w:p>
    <w:p w:rsidR="00D7776A" w:rsidRPr="00D7776A" w:rsidRDefault="00D7776A" w:rsidP="00D77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A"/>
        </w:rPr>
      </w:pPr>
    </w:p>
    <w:p w:rsidR="00D7776A" w:rsidRPr="00D7776A" w:rsidRDefault="00D7776A" w:rsidP="00D77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A"/>
        </w:rPr>
      </w:pPr>
      <w:r w:rsidRPr="00D7776A">
        <w:rPr>
          <w:rFonts w:ascii="Times New Roman" w:hAnsi="Times New Roman" w:cs="Times New Roman"/>
          <w:color w:val="00000A"/>
        </w:rPr>
        <w:t>Studenci oceniani są według następującej skali:</w:t>
      </w:r>
    </w:p>
    <w:p w:rsidR="00D7776A" w:rsidRPr="00D7776A" w:rsidRDefault="00D7776A" w:rsidP="00D77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A"/>
        </w:rPr>
      </w:pPr>
    </w:p>
    <w:p w:rsidR="00D7776A" w:rsidRPr="00D7776A" w:rsidRDefault="00D7776A" w:rsidP="00D77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A"/>
        </w:rPr>
      </w:pPr>
      <w:r w:rsidRPr="00D7776A">
        <w:rPr>
          <w:rFonts w:ascii="Times New Roman" w:hAnsi="Times New Roman" w:cs="Times New Roman"/>
          <w:color w:val="00000A"/>
        </w:rPr>
        <w:t>5</w:t>
      </w:r>
      <w:r w:rsidRPr="00D7776A">
        <w:rPr>
          <w:rFonts w:ascii="Times New Roman" w:hAnsi="Times New Roman" w:cs="Times New Roman"/>
          <w:color w:val="00000A"/>
        </w:rPr>
        <w:tab/>
        <w:t>93–100%</w:t>
      </w:r>
    </w:p>
    <w:p w:rsidR="00D7776A" w:rsidRPr="00D7776A" w:rsidRDefault="00D7776A" w:rsidP="00D77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A"/>
        </w:rPr>
      </w:pPr>
      <w:r w:rsidRPr="00D7776A">
        <w:rPr>
          <w:rFonts w:ascii="Times New Roman" w:hAnsi="Times New Roman" w:cs="Times New Roman"/>
          <w:color w:val="00000A"/>
        </w:rPr>
        <w:t>4.5</w:t>
      </w:r>
      <w:r w:rsidRPr="00D7776A">
        <w:rPr>
          <w:rFonts w:ascii="Times New Roman" w:hAnsi="Times New Roman" w:cs="Times New Roman"/>
          <w:color w:val="00000A"/>
        </w:rPr>
        <w:tab/>
        <w:t>85–92%</w:t>
      </w:r>
    </w:p>
    <w:p w:rsidR="00D7776A" w:rsidRPr="00D7776A" w:rsidRDefault="00D7776A" w:rsidP="00D77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A"/>
        </w:rPr>
      </w:pPr>
      <w:r w:rsidRPr="00D7776A">
        <w:rPr>
          <w:rFonts w:ascii="Times New Roman" w:hAnsi="Times New Roman" w:cs="Times New Roman"/>
          <w:color w:val="00000A"/>
        </w:rPr>
        <w:t>4</w:t>
      </w:r>
      <w:r w:rsidRPr="00D7776A">
        <w:rPr>
          <w:rFonts w:ascii="Times New Roman" w:hAnsi="Times New Roman" w:cs="Times New Roman"/>
          <w:color w:val="00000A"/>
        </w:rPr>
        <w:tab/>
        <w:t>77–84%</w:t>
      </w:r>
    </w:p>
    <w:p w:rsidR="00D7776A" w:rsidRPr="00D7776A" w:rsidRDefault="00D7776A" w:rsidP="00D77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A"/>
        </w:rPr>
      </w:pPr>
      <w:r w:rsidRPr="00D7776A">
        <w:rPr>
          <w:rFonts w:ascii="Times New Roman" w:hAnsi="Times New Roman" w:cs="Times New Roman"/>
          <w:color w:val="00000A"/>
        </w:rPr>
        <w:t>3.5</w:t>
      </w:r>
      <w:r w:rsidRPr="00D7776A">
        <w:rPr>
          <w:rFonts w:ascii="Times New Roman" w:hAnsi="Times New Roman" w:cs="Times New Roman"/>
          <w:color w:val="00000A"/>
        </w:rPr>
        <w:tab/>
        <w:t>69–76%</w:t>
      </w:r>
    </w:p>
    <w:p w:rsidR="00D7776A" w:rsidRPr="00D7776A" w:rsidRDefault="00D7776A" w:rsidP="00D77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A"/>
        </w:rPr>
      </w:pPr>
      <w:r w:rsidRPr="00D7776A">
        <w:rPr>
          <w:rFonts w:ascii="Times New Roman" w:hAnsi="Times New Roman" w:cs="Times New Roman"/>
          <w:color w:val="00000A"/>
        </w:rPr>
        <w:t>3</w:t>
      </w:r>
      <w:r w:rsidRPr="00D7776A">
        <w:rPr>
          <w:rFonts w:ascii="Times New Roman" w:hAnsi="Times New Roman" w:cs="Times New Roman"/>
          <w:color w:val="00000A"/>
        </w:rPr>
        <w:tab/>
        <w:t>60–68%</w:t>
      </w:r>
    </w:p>
    <w:p w:rsidR="00D7776A" w:rsidRPr="00D7776A" w:rsidRDefault="00D7776A" w:rsidP="00D77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0000A"/>
        </w:rPr>
      </w:pPr>
      <w:r w:rsidRPr="00D7776A">
        <w:rPr>
          <w:rFonts w:ascii="Times New Roman" w:hAnsi="Times New Roman" w:cs="Times New Roman"/>
          <w:color w:val="00000A"/>
        </w:rPr>
        <w:t>2</w:t>
      </w:r>
      <w:r w:rsidRPr="00D7776A">
        <w:rPr>
          <w:rFonts w:ascii="Times New Roman" w:hAnsi="Times New Roman" w:cs="Times New Roman"/>
          <w:color w:val="00000A"/>
        </w:rPr>
        <w:tab/>
        <w:t>0–59%</w:t>
      </w:r>
    </w:p>
    <w:p w:rsidR="00D7776A" w:rsidRPr="00D7776A" w:rsidRDefault="00D7776A" w:rsidP="00D777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numPr>
          <w:ilvl w:val="0"/>
          <w:numId w:val="15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200" w:line="276" w:lineRule="auto"/>
        <w:ind w:left="1080" w:hanging="720"/>
        <w:rPr>
          <w:rFonts w:ascii="Times New Roman" w:hAnsi="Times New Roman" w:cs="Times New Roman"/>
          <w:b/>
          <w:color w:val="000000"/>
        </w:rPr>
      </w:pPr>
      <w:r w:rsidRPr="00D7776A">
        <w:rPr>
          <w:rFonts w:ascii="Times New Roman" w:hAnsi="Times New Roman" w:cs="Times New Roman"/>
          <w:b/>
          <w:color w:val="000000"/>
          <w:kern w:val="1"/>
        </w:rPr>
        <w:tab/>
      </w:r>
      <w:r w:rsidRPr="00D7776A">
        <w:rPr>
          <w:rFonts w:ascii="Times New Roman" w:hAnsi="Times New Roman" w:cs="Times New Roman"/>
          <w:b/>
          <w:color w:val="000000"/>
        </w:rPr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D7776A" w:rsidRPr="00D7776A" w:rsidTr="00D7776A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</w:tr>
      <w:tr w:rsidR="00D7776A" w:rsidRPr="00D7776A" w:rsidTr="00D7776A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 xml:space="preserve"> 100 (+18 e-learning)</w:t>
            </w:r>
          </w:p>
        </w:tc>
      </w:tr>
    </w:tbl>
    <w:p w:rsidR="00D7776A" w:rsidRPr="00D7776A" w:rsidRDefault="00D7776A" w:rsidP="00D7776A">
      <w:p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left="723"/>
        <w:rPr>
          <w:rFonts w:ascii="Times New Roman" w:hAnsi="Times New Roman" w:cs="Times New Roman"/>
          <w:color w:val="000000"/>
        </w:rPr>
      </w:pPr>
    </w:p>
    <w:p w:rsidR="00D7776A" w:rsidRPr="00D7776A" w:rsidRDefault="00D7776A" w:rsidP="00D7776A">
      <w:pPr>
        <w:numPr>
          <w:ilvl w:val="0"/>
          <w:numId w:val="18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200" w:line="276" w:lineRule="auto"/>
        <w:ind w:left="1080" w:hanging="720"/>
        <w:rPr>
          <w:rFonts w:ascii="Times New Roman" w:hAnsi="Times New Roman" w:cs="Times New Roman"/>
          <w:b/>
          <w:color w:val="000000"/>
        </w:rPr>
      </w:pPr>
      <w:r w:rsidRPr="00D7776A">
        <w:rPr>
          <w:rFonts w:ascii="Times New Roman" w:hAnsi="Times New Roman" w:cs="Times New Roman"/>
          <w:b/>
          <w:color w:val="000000"/>
          <w:kern w:val="1"/>
        </w:rPr>
        <w:tab/>
      </w:r>
      <w:r w:rsidRPr="00D7776A">
        <w:rPr>
          <w:rFonts w:ascii="Times New Roman" w:hAnsi="Times New Roman" w:cs="Times New Roman"/>
          <w:b/>
          <w:color w:val="000000"/>
        </w:rPr>
        <w:t>Literatura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D7776A" w:rsidRPr="00D7776A" w:rsidTr="00D7776A"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Baker, Mona (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ed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) (1998)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Routledge Encyclopedia of Translation Studies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. Routledge.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Bassnett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Susan (1980)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Translation Studies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. Routledge.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Hatim, Basil and Jeremy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Munday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 (2004)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Translation / An Advanced Resource Book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. Routledge.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Lefevere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Andre (1992)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Translation History Culture: A Sourcebook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. Routledge. 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Munday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Jeremy (2001)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Introducing Translation Studies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. Routledge.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Snell-Hornby, Mary (2006)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The Turns of Translation Studies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. John Benjamins.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Venuti, Lawrence (2000)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The Translation Studies Reader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. Routledge. 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Venuti, Lawrence (1993)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The Translator’s Invisibility: A History of Translation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Routledge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776A" w:rsidRPr="00D7776A" w:rsidTr="00D7776A">
        <w:tblPrEx>
          <w:tblBorders>
            <w:top w:val="none" w:sz="0" w:space="0" w:color="auto"/>
          </w:tblBorders>
        </w:tblPrEx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D7776A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D7776A" w:rsidRPr="00D7776A" w:rsidTr="00D7776A">
        <w:tc>
          <w:tcPr>
            <w:tcW w:w="9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Bassnett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Susan and Harish Trivedi (1999)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Post-colonial Translation: Theory and Practice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. Routledge.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Cronin, Michael (2002) “History, Translation, Postcolonialism”. In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Changing the Terms: Translating in the Postcolonial Era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. Eds. Sherry Simon and Paul St-Pierre. Orient Longman. 33–52. 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Cronin, Michael (2003)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Translation and Globalization. 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Routledge. 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Cronin, Michael (2006)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Translation and Identity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. Routledge.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Gentzler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Edwin (2001)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Contemporary Translation Theories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. Multilingual Matters. 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Guidère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Mathieu (2001) “Translation Practices in International Advertising”.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Translation Journal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. Volume 5, No.1. January 2001.  &lt;http://translationjournal.net/journal// 15advert.htm&gt;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Kuhiwczak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Piotr and Karin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Littau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 (eds.) (2007)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 Companion to Translation Studies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. Multilingual  Matters Ltd.  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Tymoczko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Maria and Edwin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Gentzler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 (eds.) (2002)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Translation and Power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. University of Massachusetts Press.  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Waliński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Jacek (2015) “Translation Procedures” In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Ways to Translation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Eds. </w:t>
            </w:r>
            <w:r w:rsidRPr="00D7776A">
              <w:rPr>
                <w:rFonts w:ascii="Times New Roman" w:hAnsi="Times New Roman" w:cs="Times New Roman"/>
                <w:color w:val="000000"/>
              </w:rPr>
              <w:t xml:space="preserve">Piotr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Stalmaszczyk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, Stanisław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Goźdź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-Roszkowski and Łukasz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</w:rPr>
              <w:t>Bogusicki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</w:rPr>
              <w:t xml:space="preserve">. Wydawnictwo Uniwersytetu Łódzkiego. 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55–68.</w:t>
            </w:r>
          </w:p>
          <w:p w:rsidR="00D7776A" w:rsidRPr="00D7776A" w:rsidRDefault="00D7776A" w:rsidP="00D7776A">
            <w:pPr>
              <w:autoSpaceDE w:val="0"/>
              <w:autoSpaceDN w:val="0"/>
              <w:adjustRightInd w:val="0"/>
              <w:spacing w:after="200"/>
              <w:ind w:left="360" w:hanging="36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Weissbort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, Daniel and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Astradur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>Eysteinsson</w:t>
            </w:r>
            <w:proofErr w:type="spellEnd"/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 (2006) </w:t>
            </w:r>
            <w:r w:rsidRPr="00D7776A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Translation – Theory and Practice: A Historical Reader</w:t>
            </w:r>
            <w:r w:rsidRPr="00D7776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D7776A">
              <w:rPr>
                <w:rFonts w:ascii="Times New Roman" w:hAnsi="Times New Roman" w:cs="Times New Roman"/>
                <w:color w:val="000000"/>
              </w:rPr>
              <w:t>Oxford University Press.</w:t>
            </w:r>
          </w:p>
        </w:tc>
      </w:tr>
    </w:tbl>
    <w:p w:rsidR="001C7D18" w:rsidRPr="00D7776A" w:rsidRDefault="001C7D18" w:rsidP="00D7776A"/>
    <w:sectPr w:rsidR="001C7D18" w:rsidRPr="00D7776A" w:rsidSect="00FE020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8B" w:rsidRDefault="0023388B" w:rsidP="00D7776A">
      <w:r>
        <w:separator/>
      </w:r>
    </w:p>
  </w:endnote>
  <w:endnote w:type="continuationSeparator" w:id="0">
    <w:p w:rsidR="0023388B" w:rsidRDefault="0023388B" w:rsidP="00D7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8B" w:rsidRDefault="0023388B" w:rsidP="00D7776A">
      <w:r>
        <w:separator/>
      </w:r>
    </w:p>
  </w:footnote>
  <w:footnote w:type="continuationSeparator" w:id="0">
    <w:p w:rsidR="0023388B" w:rsidRDefault="0023388B" w:rsidP="00D7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6A" w:rsidRPr="00D7776A" w:rsidRDefault="00D7776A" w:rsidP="00D7776A">
    <w:pPr>
      <w:pStyle w:val="Nagwek"/>
      <w:jc w:val="right"/>
      <w:rPr>
        <w:rFonts w:ascii="Times New Roman" w:hAnsi="Times New Roman" w:cs="Times New Roman"/>
        <w:i/>
      </w:rPr>
    </w:pPr>
    <w:r w:rsidRPr="00D7776A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6A"/>
    <w:rsid w:val="001C7D18"/>
    <w:rsid w:val="0023388B"/>
    <w:rsid w:val="003C7AC1"/>
    <w:rsid w:val="003F4EF1"/>
    <w:rsid w:val="006A36D9"/>
    <w:rsid w:val="00766058"/>
    <w:rsid w:val="008F1E0D"/>
    <w:rsid w:val="00D13F29"/>
    <w:rsid w:val="00D7776A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663C"/>
  <w15:chartTrackingRefBased/>
  <w15:docId w15:val="{0DFC521E-EF83-8645-9DD4-4840DCC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76A"/>
  </w:style>
  <w:style w:type="paragraph" w:styleId="Stopka">
    <w:name w:val="footer"/>
    <w:basedOn w:val="Normalny"/>
    <w:link w:val="StopkaZnak"/>
    <w:uiPriority w:val="99"/>
    <w:unhideWhenUsed/>
    <w:rsid w:val="00D77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76A"/>
  </w:style>
  <w:style w:type="paragraph" w:styleId="Akapitzlist">
    <w:name w:val="List Paragraph"/>
    <w:basedOn w:val="Normalny"/>
    <w:uiPriority w:val="34"/>
    <w:qFormat/>
    <w:rsid w:val="003C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777</Words>
  <Characters>5413</Characters>
  <Application>Microsoft Office Word</Application>
  <DocSecurity>0</DocSecurity>
  <Lines>225</Lines>
  <Paragraphs>137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2020-10-04T16:51:00Z</dcterms:created>
  <dcterms:modified xsi:type="dcterms:W3CDTF">2021-04-19T10:33:00Z</dcterms:modified>
</cp:coreProperties>
</file>