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09" w:rsidRPr="00DB531F" w:rsidRDefault="003A3FDD">
      <w:pPr>
        <w:rPr>
          <w:rStyle w:val="None"/>
          <w:rFonts w:ascii="Times New Roman" w:hAnsi="Times New Roman" w:cs="Times New Roman"/>
          <w:b/>
          <w:bCs/>
        </w:rPr>
      </w:pPr>
      <w:r w:rsidRPr="00DB531F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C34009" w:rsidRPr="00DB531F" w:rsidRDefault="00C34009">
      <w:pPr>
        <w:rPr>
          <w:rFonts w:ascii="Times New Roman" w:hAnsi="Times New Roman" w:cs="Times New Roman"/>
          <w:b/>
          <w:bCs/>
        </w:rPr>
      </w:pPr>
    </w:p>
    <w:p w:rsidR="00C34009" w:rsidRPr="00DB531F" w:rsidRDefault="003A3F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B531F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Neofilologia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Neophilology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Kierunek studi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Poziom studi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I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językoznawstwo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C34009" w:rsidRPr="00DB531F" w:rsidRDefault="00C34009" w:rsidP="00DB531F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C34009" w:rsidRPr="00DB531F" w:rsidRDefault="00C34009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14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dr Jerzy Wójcik</w:t>
            </w:r>
          </w:p>
        </w:tc>
      </w:tr>
    </w:tbl>
    <w:p w:rsidR="00C34009" w:rsidRPr="00DB531F" w:rsidRDefault="00C3400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C34009" w:rsidRPr="00DB531F" w:rsidRDefault="00C340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34009" w:rsidRPr="00DB531F" w:rsidRDefault="00C340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5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ć</w:t>
            </w:r>
            <w:r w:rsidRPr="00DB531F">
              <w:rPr>
                <w:rStyle w:val="None"/>
                <w:rFonts w:ascii="Times New Roman" w:hAnsi="Times New Roman" w:cs="Times New Roman"/>
              </w:rPr>
              <w:t>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60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V, VI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lastRenderedPageBreak/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009" w:rsidRPr="00DB531F" w:rsidRDefault="00C34009">
            <w:pPr>
              <w:rPr>
                <w:rFonts w:ascii="Times New Roman" w:hAnsi="Times New Roman" w:cs="Times New Roman"/>
              </w:rPr>
            </w:pPr>
          </w:p>
        </w:tc>
      </w:tr>
    </w:tbl>
    <w:p w:rsidR="00C34009" w:rsidRPr="00DB531F" w:rsidRDefault="00C3400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C34009" w:rsidRPr="00DB531F" w:rsidRDefault="00C340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34009" w:rsidRPr="00DB531F" w:rsidRDefault="00C34009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6846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pStyle w:val="Bezodstpw"/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1.Znajomość ję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zyka angielskiego na poziomie co najmniej B2+, </w:t>
            </w:r>
          </w:p>
          <w:p w:rsidR="00C34009" w:rsidRPr="00DB531F" w:rsidRDefault="003A3FDD">
            <w:pPr>
              <w:pStyle w:val="Bezodstpw"/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2. Podstawowe umiejętności w zakresie academic writing;</w:t>
            </w:r>
          </w:p>
          <w:p w:rsidR="00C34009" w:rsidRPr="00DB531F" w:rsidRDefault="003A3FDD">
            <w:pPr>
              <w:pStyle w:val="Bezodstpw"/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3. Znajomość podstawowych pojęć z zakresu językoznawstwa. </w:t>
            </w:r>
          </w:p>
        </w:tc>
      </w:tr>
    </w:tbl>
    <w:p w:rsidR="00C34009" w:rsidRPr="00DB531F" w:rsidRDefault="00C34009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C34009" w:rsidRPr="00DB531F" w:rsidRDefault="00C3400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34009" w:rsidRPr="00DB531F" w:rsidRDefault="003A3FD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DB531F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C1 Podstawowy cel to napisanie przez każdego z uczestnik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seminarium pracy licencjackiej.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C2 Podniesienie poziomu znajomości metodologii badań językoznawczych, w  szczeg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lności badań prowadzonych na podstawie analizy tekst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powstałych w okresie wczesnym nowoangielskim ze szczeg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lnym uwzględnieniem tłumaczeń 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Biblii na język angielski powstałych w tym okresie.  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C3 Doskonalenie umiejętności współpracy z innymi uczestnikami seminarium (tj. formułowania i korzystania z konstruktywnej krytyki), oraz pogłębienie technicznych (warsztatowych) umiejętności pisania pr</w:t>
            </w:r>
            <w:r w:rsidRPr="00DB531F">
              <w:rPr>
                <w:rStyle w:val="None"/>
                <w:rFonts w:ascii="Times New Roman" w:hAnsi="Times New Roman" w:cs="Times New Roman"/>
              </w:rPr>
              <w:t>ac naukowych (wyb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r tematu, przygotowanie projektu, wyb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r metody, gromadzenie bibliografii, sporządzanie przypis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itd.) oraz przejrzystego i zwięzłego, logicznego i językowo poprawnego przedstawienia wynik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badań.</w:t>
            </w:r>
          </w:p>
        </w:tc>
      </w:tr>
    </w:tbl>
    <w:p w:rsidR="00C34009" w:rsidRPr="00DB531F" w:rsidRDefault="00C34009" w:rsidP="00DB531F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C34009" w:rsidRPr="00DB531F" w:rsidRDefault="003A3FDD" w:rsidP="00DB531F">
      <w:pPr>
        <w:pStyle w:val="Akapitzlist"/>
        <w:widowControl w:val="0"/>
        <w:numPr>
          <w:ilvl w:val="0"/>
          <w:numId w:val="5"/>
        </w:numPr>
        <w:spacing w:line="240" w:lineRule="auto"/>
        <w:rPr>
          <w:rStyle w:val="None"/>
          <w:rFonts w:ascii="Times New Roman" w:hAnsi="Times New Roman" w:cs="Times New Roman"/>
          <w:b/>
          <w:bCs/>
        </w:rPr>
      </w:pPr>
      <w:r w:rsidRPr="00DB531F">
        <w:rPr>
          <w:rStyle w:val="None"/>
          <w:rFonts w:ascii="Times New Roman" w:hAnsi="Times New Roman" w:cs="Times New Roman"/>
          <w:b/>
          <w:bCs/>
        </w:rPr>
        <w:t xml:space="preserve">Efekty uczenia się dla przedmiotu </w:t>
      </w:r>
      <w:r w:rsidRPr="00DB531F">
        <w:rPr>
          <w:rStyle w:val="None"/>
          <w:rFonts w:ascii="Times New Roman" w:hAnsi="Times New Roman" w:cs="Times New Roman"/>
          <w:b/>
          <w:bCs/>
        </w:rPr>
        <w:t>wraz z odniesieniem do efekt</w:t>
      </w:r>
      <w:r w:rsidRPr="00DB531F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DB531F">
        <w:rPr>
          <w:rStyle w:val="None"/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lastRenderedPageBreak/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Student wyjaśnia najważniejsze aspekty związane z historią tłumaczeń Biblii na język angielski oraz identyfikuje najważniejsze </w:t>
            </w:r>
            <w:r w:rsidRPr="00DB531F">
              <w:rPr>
                <w:rStyle w:val="None"/>
                <w:rFonts w:ascii="Times New Roman" w:hAnsi="Times New Roman" w:cs="Times New Roman"/>
              </w:rPr>
              <w:t>przykł</w:t>
            </w:r>
            <w:r w:rsidRPr="00DB531F">
              <w:rPr>
                <w:rStyle w:val="None"/>
                <w:rFonts w:ascii="Times New Roman" w:hAnsi="Times New Roman" w:cs="Times New Roman"/>
              </w:rPr>
              <w:t>ady t</w:t>
            </w:r>
            <w:r w:rsidRPr="00DB531F">
              <w:rPr>
                <w:rStyle w:val="None"/>
                <w:rFonts w:ascii="Times New Roman" w:hAnsi="Times New Roman" w:cs="Times New Roman"/>
              </w:rPr>
              <w:t>łumaczeń Biblii na język angielski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K_W01, K_W02,  K_W04, K_W06,  K_W08, K_W11,  K_W13, K_W14 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Student wyciąga wnioski dotyczące najważniejszych różnic pomiędzy tłumaczeniami Biblii na język angielski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K_W02, K_W11,  K_W13, K_W14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DB531F">
              <w:rPr>
                <w:rStyle w:val="None"/>
                <w:rFonts w:ascii="Times New Roman" w:hAnsi="Times New Roman" w:cs="Times New Roman"/>
              </w:rPr>
              <w:t>ĘTNOŚ</w:t>
            </w:r>
            <w:r w:rsidRPr="00DB531F">
              <w:rPr>
                <w:rStyle w:val="None"/>
                <w:rFonts w:ascii="Times New Roman" w:hAnsi="Times New Roman" w:cs="Times New Roman"/>
              </w:rPr>
              <w:t>CI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fr-FR"/>
              </w:rPr>
              <w:t>Student por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wnuje lingwistyczne aspekty różnych tłumaczeń Biblii na język angielski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K_U05, K_U06, K_U07, K_U08, K_U13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Student analizuje, porządkuje i klasyfikuje dane językowe w analizowanych tekstach historycznych stosując do tego współ</w:t>
            </w:r>
            <w:r w:rsidRPr="00DB531F">
              <w:rPr>
                <w:rStyle w:val="None"/>
                <w:rFonts w:ascii="Times New Roman" w:hAnsi="Times New Roman" w:cs="Times New Roman"/>
              </w:rPr>
              <w:t>czesne narzędzia analizy danych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K_U05, K_U06, K_U07, K_U08, K_U13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DB531F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Student pracuje samodzielnie analizując opracowywane dane językowe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K_K06, K_K08, 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Student uzasadnia decyzje podejmowane w trakcie pracy badawczej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K_K06, K_K08, </w:t>
            </w:r>
          </w:p>
        </w:tc>
      </w:tr>
    </w:tbl>
    <w:p w:rsidR="00C34009" w:rsidRPr="00DB531F" w:rsidRDefault="00C34009">
      <w:pPr>
        <w:pStyle w:val="Akapitzlist"/>
        <w:widowControl w:val="0"/>
        <w:spacing w:line="240" w:lineRule="auto"/>
        <w:ind w:left="108" w:hanging="108"/>
        <w:rPr>
          <w:rStyle w:val="None"/>
          <w:rFonts w:ascii="Times New Roman" w:hAnsi="Times New Roman" w:cs="Times New Roman"/>
          <w:b/>
          <w:bCs/>
        </w:rPr>
      </w:pPr>
    </w:p>
    <w:p w:rsidR="00C34009" w:rsidRPr="00DB531F" w:rsidRDefault="00C34009">
      <w:pPr>
        <w:pStyle w:val="Akapitzlist"/>
        <w:widowControl w:val="0"/>
        <w:spacing w:line="240" w:lineRule="auto"/>
        <w:ind w:left="1080"/>
        <w:rPr>
          <w:rFonts w:ascii="Times New Roman" w:hAnsi="Times New Roman" w:cs="Times New Roman"/>
        </w:rPr>
      </w:pPr>
    </w:p>
    <w:p w:rsidR="00C34009" w:rsidRPr="00DB531F" w:rsidRDefault="003A3FD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DB531F">
        <w:rPr>
          <w:rFonts w:ascii="Times New Roman" w:hAnsi="Times New Roman" w:cs="Times New Roman"/>
          <w:b/>
          <w:bCs/>
        </w:rPr>
        <w:t>Opis przedmiotu/ treści programowe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  <w:b/>
                <w:bCs/>
              </w:rPr>
            </w:pPr>
            <w:r w:rsidRPr="00DB531F">
              <w:rPr>
                <w:rStyle w:val="None"/>
                <w:rFonts w:ascii="Times New Roman" w:hAnsi="Times New Roman" w:cs="Times New Roman"/>
                <w:b/>
                <w:bCs/>
              </w:rPr>
              <w:t>SEMESTR 1</w:t>
            </w:r>
          </w:p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1 Wprowadzenie do kursu. Zapoznanie ze specyfiką pisania pracy licencjackiej . </w:t>
            </w:r>
          </w:p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2-3 Ćwiczenia z warsztatu pisania pracy naukowej (problem plagiatu, kryteria oceny pracy naukowej, znaczenie 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metody naukowej i opisu stanu badań, zasady zbierania materiałów, organizacja pracy, itp). </w:t>
            </w:r>
          </w:p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4-11 Opracowywanie wybranych tekst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(wczesnych nowoangielskich przekład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Biblii) poprzez tworzenie bazy danych (np. w oparciu o arkusze google umożliwiające autom</w:t>
            </w:r>
            <w:r w:rsidRPr="00DB531F">
              <w:rPr>
                <w:rStyle w:val="None"/>
                <w:rFonts w:ascii="Times New Roman" w:hAnsi="Times New Roman" w:cs="Times New Roman"/>
              </w:rPr>
              <w:t>atyczne sortowanie wprowadzonych danych według dowolnych kryteri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w, np. kategoria gramatyczna, pisownia, etc.) zawierającej dane, kt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re zostaną poddane szczegółowej analizie oraz por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wnaniu dającemu możliwość  prześledzenia jak zmieniał się język angielski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 w okresie wczesno nowoangielskim (po roku 1500).  </w:t>
            </w:r>
          </w:p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12-13 Referaty seminarzyst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w dotyczące zebranego materiału oraz dyskusja. </w:t>
            </w:r>
          </w:p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14-15 Przedstawienie planu pracy dyplomowej i dyskusja na forum grupy. </w:t>
            </w:r>
          </w:p>
          <w:p w:rsidR="00C34009" w:rsidRPr="00DB531F" w:rsidRDefault="003A3FDD">
            <w:pPr>
              <w:spacing w:after="0"/>
              <w:jc w:val="both"/>
              <w:rPr>
                <w:rStyle w:val="None"/>
                <w:rFonts w:ascii="Times New Roman" w:hAnsi="Times New Roman" w:cs="Times New Roman"/>
                <w:b/>
                <w:bCs/>
              </w:rPr>
            </w:pPr>
            <w:r w:rsidRPr="00DB531F">
              <w:rPr>
                <w:rStyle w:val="None"/>
                <w:rFonts w:ascii="Times New Roman" w:hAnsi="Times New Roman" w:cs="Times New Roman"/>
                <w:b/>
                <w:bCs/>
              </w:rPr>
              <w:t>SEMESTR 2</w:t>
            </w:r>
          </w:p>
          <w:p w:rsidR="00C34009" w:rsidRPr="00DB531F" w:rsidRDefault="003A3F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 drugim semestrze większość spotkań poświęcona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 jest analizie prac pisanych przez uczestnik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 seminarium oraz omawianiu teoretycznych zagadnień związanych z analizą danych zgromadzonych przez seminarzyst</w:t>
            </w:r>
            <w:r w:rsidRPr="00DB531F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DB531F">
              <w:rPr>
                <w:rStyle w:val="None"/>
                <w:rFonts w:ascii="Times New Roman" w:hAnsi="Times New Roman" w:cs="Times New Roman"/>
              </w:rPr>
              <w:t>w.</w:t>
            </w:r>
          </w:p>
        </w:tc>
      </w:tr>
    </w:tbl>
    <w:p w:rsidR="00C34009" w:rsidRPr="00DB531F" w:rsidRDefault="00C34009">
      <w:pPr>
        <w:rPr>
          <w:rFonts w:ascii="Times New Roman" w:hAnsi="Times New Roman" w:cs="Times New Roman"/>
          <w:b/>
          <w:bCs/>
        </w:rPr>
      </w:pPr>
    </w:p>
    <w:p w:rsidR="00C34009" w:rsidRPr="00DB531F" w:rsidRDefault="003A3FD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 w:rsidRPr="00DB531F">
        <w:rPr>
          <w:rStyle w:val="None"/>
          <w:rFonts w:ascii="Times New Roman" w:hAnsi="Times New Roman" w:cs="Times New Roman"/>
          <w:b/>
          <w:bCs/>
        </w:rPr>
        <w:lastRenderedPageBreak/>
        <w:t>Metody realizacji i weryfikacji efekt</w:t>
      </w:r>
      <w:r w:rsidRPr="00DB531F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 w:rsidRPr="00DB531F">
        <w:rPr>
          <w:rStyle w:val="None"/>
          <w:rFonts w:ascii="Times New Roman" w:hAnsi="Times New Roman" w:cs="Times New Roman"/>
          <w:b/>
          <w:bCs/>
        </w:rPr>
        <w:t xml:space="preserve">w uczenia się 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Metody dydaktyczne</w:t>
            </w:r>
          </w:p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i/>
                <w:iCs/>
                <w:sz w:val="18"/>
                <w:szCs w:val="18"/>
              </w:rPr>
              <w:t>(lista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wyboru)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i/>
                <w:iCs/>
                <w:sz w:val="18"/>
                <w:szCs w:val="18"/>
              </w:rPr>
              <w:t>(lista wyboru)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Dyskusja, praca z tekstem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Prezentacja/ praca pisemna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licencjacka, Karta oceny prezentacji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Dyskusja, praca po kierunkiem, praca badawcza pod kierunkiem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Prezentacja/ praca pisemna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licencjacka, Karta oceny prezentacji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DB531F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Dyskusja, praca badawcza pod kierunkiem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pisemna</w:t>
            </w:r>
          </w:p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licencjacka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Dyskusja, praca badawcza pod kierunkiem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pisemna</w:t>
            </w:r>
          </w:p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Praca </w:t>
            </w:r>
            <w:r w:rsidRPr="00DB531F">
              <w:rPr>
                <w:rStyle w:val="None"/>
                <w:rFonts w:ascii="Times New Roman" w:hAnsi="Times New Roman" w:cs="Times New Roman"/>
              </w:rPr>
              <w:t>licencjacka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009" w:rsidRPr="00DB531F" w:rsidRDefault="003A3F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DB531F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obserwacja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licencjacka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obserwacja/ praca pisemna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Praca licencjacka</w:t>
            </w:r>
          </w:p>
        </w:tc>
      </w:tr>
    </w:tbl>
    <w:p w:rsidR="00C34009" w:rsidRPr="00DB531F" w:rsidRDefault="00C34009" w:rsidP="00DB531F">
      <w:pPr>
        <w:rPr>
          <w:rFonts w:ascii="Times New Roman" w:hAnsi="Times New Roman" w:cs="Times New Roman"/>
          <w:b/>
          <w:bCs/>
        </w:rPr>
      </w:pPr>
    </w:p>
    <w:p w:rsidR="00C34009" w:rsidRPr="00DB531F" w:rsidRDefault="003A3FD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DB531F">
        <w:rPr>
          <w:rFonts w:ascii="Times New Roman" w:hAnsi="Times New Roman" w:cs="Times New Roman"/>
          <w:b/>
          <w:bCs/>
        </w:rPr>
        <w:t>Kryteria oceny, wagi…</w:t>
      </w:r>
    </w:p>
    <w:p w:rsidR="00C34009" w:rsidRPr="00DB531F" w:rsidRDefault="003A3FDD">
      <w:pPr>
        <w:jc w:val="both"/>
        <w:rPr>
          <w:rStyle w:val="None"/>
          <w:rFonts w:ascii="Times New Roman" w:hAnsi="Times New Roman" w:cs="Times New Roman"/>
          <w:b/>
          <w:bCs/>
        </w:rPr>
      </w:pPr>
      <w:r w:rsidRPr="00DB531F">
        <w:rPr>
          <w:rFonts w:ascii="Times New Roman" w:hAnsi="Times New Roman" w:cs="Times New Roman"/>
        </w:rPr>
        <w:t xml:space="preserve">Podstawowe kryteria oceny to aktywne uczestnictwo w seminarium, co oznacza realizację zadań </w:t>
      </w:r>
      <w:r w:rsidRPr="00DB531F">
        <w:rPr>
          <w:rFonts w:ascii="Times New Roman" w:hAnsi="Times New Roman" w:cs="Times New Roman"/>
        </w:rPr>
        <w:t>wyznaczonych przez promotora, które mają za zadanie przygotować seminarzystów do pisania pracy licencjackiej. Do zaliczenia pierwszego semestru wymagane jest opracowanie przez uczestnika seminarium bazy danych (np. w formie arkusza google) poprzez opracowa</w:t>
      </w:r>
      <w:r w:rsidRPr="00DB531F">
        <w:rPr>
          <w:rFonts w:ascii="Times New Roman" w:hAnsi="Times New Roman" w:cs="Times New Roman"/>
        </w:rPr>
        <w:t>nie wybranego tekstu źródłowego. Ostatecznym kryterium zaliczenia seminarium jest napisanie pracy licencjackiej na koniec VI semestru.</w:t>
      </w:r>
    </w:p>
    <w:p w:rsidR="00C34009" w:rsidRPr="00DB531F" w:rsidRDefault="003A3FD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DB531F"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lastRenderedPageBreak/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60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Liczba </w:t>
            </w:r>
            <w:r w:rsidRPr="00DB531F">
              <w:rPr>
                <w:rStyle w:val="None"/>
                <w:rFonts w:ascii="Times New Roman" w:hAnsi="Times New Roman" w:cs="Times New Roman"/>
              </w:rPr>
              <w:t>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300</w:t>
            </w:r>
          </w:p>
        </w:tc>
      </w:tr>
    </w:tbl>
    <w:p w:rsidR="00C34009" w:rsidRPr="00DB531F" w:rsidRDefault="00C34009" w:rsidP="00DB531F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C34009" w:rsidRPr="00DB531F" w:rsidRDefault="003A3FDD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  <w:lang w:val="de-DE"/>
        </w:rPr>
      </w:pPr>
      <w:r w:rsidRPr="00DB531F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Daniell, David . 2003.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The Bible in English: Its History and Influence</w:t>
            </w:r>
            <w:r w:rsidRPr="00DB531F">
              <w:rPr>
                <w:rStyle w:val="None"/>
                <w:rFonts w:ascii="Times New Roman" w:hAnsi="Times New Roman" w:cs="Times New Roman"/>
              </w:rPr>
              <w:t>. New Haven and London: Yale University Press.</w:t>
            </w:r>
          </w:p>
          <w:p w:rsidR="00C34009" w:rsidRPr="00DB531F" w:rsidRDefault="003A3FDD">
            <w:pPr>
              <w:spacing w:after="0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Nevalainen Terttu. 2006.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An Introduction to Early Modern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English</w:t>
            </w:r>
            <w:r w:rsidRPr="00DB531F">
              <w:rPr>
                <w:rStyle w:val="None"/>
                <w:rFonts w:ascii="Times New Roman" w:hAnsi="Times New Roman" w:cs="Times New Roman"/>
              </w:rPr>
              <w:t>. Edinburgh Textbooks on the English Language. Edinburgh. Edinburgh University Press.</w:t>
            </w:r>
          </w:p>
          <w:p w:rsidR="00C34009" w:rsidRPr="00DB531F" w:rsidRDefault="003A3FDD">
            <w:pPr>
              <w:spacing w:after="0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Tieken-Boon van Ostade, Ingrid. 2009. 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An Introduction to Late Modern English</w:t>
            </w:r>
            <w:r w:rsidRPr="00DB531F">
              <w:rPr>
                <w:rStyle w:val="None"/>
                <w:rFonts w:ascii="Times New Roman" w:hAnsi="Times New Roman" w:cs="Times New Roman"/>
              </w:rPr>
              <w:t>.</w:t>
            </w:r>
            <w:r w:rsidRPr="00DB531F">
              <w:rPr>
                <w:rStyle w:val="None"/>
                <w:rFonts w:ascii="Times New Roman" w:hAnsi="Times New Roman" w:cs="Times New Roman"/>
                <w:b/>
                <w:bCs/>
              </w:rPr>
              <w:t xml:space="preserve"> </w:t>
            </w:r>
            <w:r w:rsidRPr="00DB531F">
              <w:rPr>
                <w:rStyle w:val="None"/>
                <w:rFonts w:ascii="Times New Roman" w:hAnsi="Times New Roman" w:cs="Times New Roman"/>
              </w:rPr>
              <w:t>Edinburgh Textbooks on the English Language. Edinburgh. Edinburgh University Press.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C34009" w:rsidRPr="00DB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009" w:rsidRPr="00DB531F" w:rsidRDefault="003A3FDD">
            <w:pPr>
              <w:pStyle w:val="Bezodstpw"/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Daniell, David . 1994. 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William Tyndale: A Biography</w:t>
            </w:r>
            <w:r w:rsidRPr="00DB531F">
              <w:rPr>
                <w:rStyle w:val="None"/>
                <w:rFonts w:ascii="Times New Roman" w:hAnsi="Times New Roman" w:cs="Times New Roman"/>
              </w:rPr>
              <w:t xml:space="preserve">. New Haven and London: Yale University Press. </w:t>
            </w:r>
          </w:p>
          <w:p w:rsidR="00C34009" w:rsidRPr="00DB531F" w:rsidRDefault="00C34009">
            <w:pPr>
              <w:pStyle w:val="Bezodstpw"/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</w:p>
          <w:p w:rsidR="00C34009" w:rsidRPr="00DB531F" w:rsidRDefault="003A3FDD">
            <w:pPr>
              <w:pStyle w:val="Bezodstpw"/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>Przykładowe teksty żródłowe:</w:t>
            </w:r>
          </w:p>
          <w:p w:rsidR="00C34009" w:rsidRPr="00DB531F" w:rsidRDefault="003A3FDD">
            <w:pPr>
              <w:pStyle w:val="Bezodstpw"/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KJV 1611 = King James or Authorised Version. 1611.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The Holy Bible, Conteyning the Old Testament, AND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THE NEW: Newly Translated out of the Originall tongues: &amp; with the former Translations diligently compared and reuised by his Maiesties speciall Co[m]mandement Appointed to be read in Churches</w:t>
            </w:r>
            <w:r w:rsidRPr="00DB531F">
              <w:rPr>
                <w:rStyle w:val="None"/>
                <w:rFonts w:ascii="Times New Roman" w:hAnsi="Times New Roman" w:cs="Times New Roman"/>
              </w:rPr>
              <w:t>. London: Robert Baker.</w:t>
            </w:r>
          </w:p>
          <w:p w:rsidR="00C34009" w:rsidRPr="00DB531F" w:rsidRDefault="003A3FDD">
            <w:pPr>
              <w:pStyle w:val="Bezodstpw"/>
              <w:spacing w:after="0" w:line="240" w:lineRule="auto"/>
              <w:rPr>
                <w:rFonts w:ascii="Times New Roman" w:hAnsi="Times New Roman" w:cs="Times New Roman"/>
              </w:rPr>
            </w:pPr>
            <w:r w:rsidRPr="00DB531F">
              <w:rPr>
                <w:rStyle w:val="None"/>
                <w:rFonts w:ascii="Times New Roman" w:hAnsi="Times New Roman" w:cs="Times New Roman"/>
              </w:rPr>
              <w:t xml:space="preserve">Tyndale 1526 = Tyndale, W. 1526. 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The ne</w:t>
            </w:r>
            <w:r w:rsidRPr="00DB531F">
              <w:rPr>
                <w:rStyle w:val="None"/>
                <w:rFonts w:ascii="Times New Roman" w:hAnsi="Times New Roman" w:cs="Times New Roman"/>
                <w:i/>
                <w:iCs/>
              </w:rPr>
              <w:t>we Testament as it was written/ and caused to be written/ by them which herde yt. To whom also oure saveoure Christ Jesus commaunded that they shulde preache it unto al creatures</w:t>
            </w:r>
            <w:r w:rsidRPr="00DB531F">
              <w:rPr>
                <w:rStyle w:val="None"/>
                <w:rFonts w:ascii="Times New Roman" w:hAnsi="Times New Roman" w:cs="Times New Roman"/>
              </w:rPr>
              <w:t>. Worms: Peter Schoeffer. A facsimile edition 2008 with an introduction by Dav</w:t>
            </w:r>
            <w:r w:rsidRPr="00DB531F">
              <w:rPr>
                <w:rStyle w:val="None"/>
                <w:rFonts w:ascii="Times New Roman" w:hAnsi="Times New Roman" w:cs="Times New Roman"/>
              </w:rPr>
              <w:t>id Daniell. The British Library and Hendrickson Bibles (from the British Library copy)</w:t>
            </w:r>
          </w:p>
        </w:tc>
      </w:tr>
    </w:tbl>
    <w:p w:rsidR="00C34009" w:rsidRPr="00DB531F" w:rsidRDefault="00C34009" w:rsidP="00DB531F">
      <w:pPr>
        <w:widowControl w:val="0"/>
        <w:spacing w:line="240" w:lineRule="auto"/>
        <w:rPr>
          <w:rFonts w:ascii="Times New Roman" w:hAnsi="Times New Roman" w:cs="Times New Roman"/>
          <w:lang w:val="de-DE"/>
        </w:rPr>
      </w:pPr>
      <w:bookmarkStart w:id="0" w:name="_GoBack"/>
      <w:bookmarkEnd w:id="0"/>
    </w:p>
    <w:p w:rsidR="00C34009" w:rsidRPr="00DB531F" w:rsidRDefault="00C34009">
      <w:pPr>
        <w:pStyle w:val="Akapitzlist"/>
        <w:widowControl w:val="0"/>
        <w:spacing w:line="240" w:lineRule="auto"/>
        <w:ind w:left="1080"/>
        <w:rPr>
          <w:rFonts w:ascii="Times New Roman" w:hAnsi="Times New Roman" w:cs="Times New Roman"/>
        </w:rPr>
      </w:pPr>
    </w:p>
    <w:sectPr w:rsidR="00C34009" w:rsidRPr="00DB531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DD" w:rsidRDefault="003A3FDD">
      <w:pPr>
        <w:spacing w:after="0" w:line="240" w:lineRule="auto"/>
      </w:pPr>
      <w:r>
        <w:separator/>
      </w:r>
    </w:p>
  </w:endnote>
  <w:endnote w:type="continuationSeparator" w:id="0">
    <w:p w:rsidR="003A3FDD" w:rsidRDefault="003A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09" w:rsidRDefault="00C3400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DD" w:rsidRDefault="003A3FDD">
      <w:pPr>
        <w:spacing w:after="0" w:line="240" w:lineRule="auto"/>
      </w:pPr>
      <w:r>
        <w:separator/>
      </w:r>
    </w:p>
  </w:footnote>
  <w:footnote w:type="continuationSeparator" w:id="0">
    <w:p w:rsidR="003A3FDD" w:rsidRDefault="003A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09" w:rsidRDefault="003A3FDD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D03A2"/>
    <w:multiLevelType w:val="hybridMultilevel"/>
    <w:tmpl w:val="3C28202A"/>
    <w:styleLink w:val="ImportedStyle1"/>
    <w:lvl w:ilvl="0" w:tplc="33164A1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42DD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42B94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4C69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5292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6C5D26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C0DA7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2E901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4CFDE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853B4E"/>
    <w:multiLevelType w:val="hybridMultilevel"/>
    <w:tmpl w:val="3C28202A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2F3EDEF6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1ADA74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6E760E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7B0653E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B0E04C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ACCD3A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308961A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8028A4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0C78A2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4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09"/>
    <w:rsid w:val="003A3FDD"/>
    <w:rsid w:val="00C34009"/>
    <w:rsid w:val="00D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0B6BE"/>
  <w15:docId w15:val="{EE80A87B-9D9F-134C-AF25-B4CB2A5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2020-07-15T10:28:00Z</dcterms:created>
  <dcterms:modified xsi:type="dcterms:W3CDTF">2020-07-15T10:29:00Z</dcterms:modified>
</cp:coreProperties>
</file>