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D3" w:rsidRDefault="009355A6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0729D3" w:rsidRDefault="000729D3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29D3" w:rsidRDefault="009355A6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0729D3">
        <w:trPr>
          <w:trHeight w:val="4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Praktyczna nauka języka angielskiego – język</w:t>
            </w:r>
          </w:p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angielski w zastosowaniach specjalistycznych</w:t>
            </w:r>
          </w:p>
        </w:tc>
      </w:tr>
      <w:tr w:rsidR="000729D3" w:rsidTr="005924EA">
        <w:trPr>
          <w:trHeight w:val="422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Practical English – English for Specific Purposes</w:t>
            </w:r>
          </w:p>
        </w:tc>
      </w:tr>
      <w:tr w:rsidR="000729D3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Kierunek 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0729D3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Poziom 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0729D3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0729D3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Językoznawstwo</w:t>
            </w:r>
          </w:p>
        </w:tc>
      </w:tr>
      <w:tr w:rsidR="000729D3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 wykładowy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 angielski</w:t>
            </w:r>
          </w:p>
        </w:tc>
      </w:tr>
    </w:tbl>
    <w:p w:rsidR="000729D3" w:rsidRDefault="000729D3" w:rsidP="005924EA">
      <w:pPr>
        <w:pStyle w:val="Body"/>
        <w:widowControl w:val="0"/>
        <w:tabs>
          <w:tab w:val="left" w:pos="1080"/>
        </w:tabs>
        <w:spacing w:after="200"/>
      </w:pPr>
    </w:p>
    <w:p w:rsidR="000729D3" w:rsidRDefault="000729D3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0729D3"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spacing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da-DK"/>
              </w:rPr>
              <w:t>dr Anna Pra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żmowska</w:t>
            </w:r>
          </w:p>
        </w:tc>
      </w:tr>
    </w:tbl>
    <w:p w:rsidR="000729D3" w:rsidRDefault="000729D3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0729D3" w:rsidRDefault="000729D3">
      <w:pPr>
        <w:pStyle w:val="Body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0729D3">
        <w:trPr>
          <w:trHeight w:val="25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spacing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Forma zajęć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</w:rPr>
            </w:pPr>
          </w:p>
          <w:p w:rsidR="000729D3" w:rsidRDefault="000729D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</w:rPr>
            </w:pPr>
          </w:p>
          <w:p w:rsidR="005924EA" w:rsidRDefault="005924E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/>
                <w:kern w:val="1"/>
              </w:rPr>
            </w:pPr>
          </w:p>
          <w:p w:rsidR="005924EA" w:rsidRDefault="005924E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/>
                <w:kern w:val="1"/>
              </w:rPr>
            </w:pPr>
          </w:p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4</w:t>
            </w:r>
          </w:p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 xml:space="preserve">V, VI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lastRenderedPageBreak/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  <w:tr w:rsidR="000729D3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0729D3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9D3" w:rsidRDefault="000729D3"/>
        </w:tc>
      </w:tr>
    </w:tbl>
    <w:p w:rsidR="000729D3" w:rsidRDefault="000729D3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0729D3" w:rsidRDefault="000729D3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0729D3" w:rsidRPr="00A63602">
        <w:trPr>
          <w:trHeight w:val="49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Wymagania wstępne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Znajomość języka angielskiego na poziomie B2 wg Europejskiego Systemu Opisu Kształcenia Językowego Rady Europy</w:t>
            </w:r>
          </w:p>
        </w:tc>
      </w:tr>
    </w:tbl>
    <w:p w:rsidR="000729D3" w:rsidRDefault="000729D3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0729D3" w:rsidRDefault="000729D3">
      <w:pPr>
        <w:pStyle w:val="Body"/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29D3" w:rsidRDefault="009355A6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6"/>
      </w:tblGrid>
      <w:tr w:rsidR="000729D3" w:rsidRPr="00A63602">
        <w:trPr>
          <w:trHeight w:val="52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spacing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ru-RU"/>
              </w:rPr>
              <w:t xml:space="preserve">C1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– uzyskanie wiedzy w zakresie angielskiego języka prawniczego, medycznego, technicznego oraz języka angielskiego stosowanego w turystyce, modzie i marketingu</w:t>
            </w:r>
          </w:p>
        </w:tc>
      </w:tr>
      <w:tr w:rsidR="000729D3" w:rsidRPr="00A63602"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C2 – doskonalenie umiejętności aktywnego wykorzystywania poznanego słownictwa specjalistycznego we właściwych formach i kontekstach komunikacyjnych</w:t>
            </w:r>
          </w:p>
        </w:tc>
      </w:tr>
      <w:tr w:rsidR="000729D3" w:rsidRPr="00A63602">
        <w:trPr>
          <w:trHeight w:val="73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C3 – kształtowanie u student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umiejętności i kompetencji językowych w zakresie języka</w:t>
            </w:r>
          </w:p>
          <w:p w:rsidR="000729D3" w:rsidRDefault="009355A6">
            <w:pPr>
              <w:pStyle w:val="Body"/>
              <w:keepLines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angielskiego oraz zastosowanie w praktyce autentycznego aktu komunikacyjnego obejmującego</w:t>
            </w:r>
          </w:p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wszystkie sprawności językowe: słuchanie, m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wienie, czytanie i pisanie</w:t>
            </w:r>
          </w:p>
        </w:tc>
      </w:tr>
    </w:tbl>
    <w:p w:rsidR="000729D3" w:rsidRDefault="000729D3" w:rsidP="005924EA">
      <w:pPr>
        <w:pStyle w:val="Body"/>
        <w:widowControl w:val="0"/>
        <w:tabs>
          <w:tab w:val="left" w:pos="1080"/>
        </w:tabs>
        <w:spacing w:after="200"/>
      </w:pPr>
    </w:p>
    <w:p w:rsidR="000729D3" w:rsidRDefault="000729D3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0729D3" w:rsidRDefault="000729D3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0729D3" w:rsidRDefault="009355A6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się dla przedmiotu wraz z odniesieniem do efekt</w:t>
      </w:r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7268"/>
        <w:gridCol w:w="1559"/>
      </w:tblGrid>
      <w:tr w:rsidR="000729D3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spacing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0729D3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0729D3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identyfikuje specjalistyczne słownictwo angielskie charakterystyczne dla wybranych kontekst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zawodowych (turystyka, prawo, medycyna, moda, technika, marketing) oraz rozpoznaje kompleksową naturę i złoż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ono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ść angielskiego języka specjalistycznego.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K_W16</w:t>
            </w:r>
          </w:p>
        </w:tc>
      </w:tr>
      <w:tr w:rsidR="000729D3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wyjaśnia znaczenie precyzji oraz poprawności logicznej i językowej w wyrażaniu własnych myśli i pogląd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w kontekstach zawodowych z zastosowaniem specjalistycznego języka angielskiego i odpowiednich dla tych kontekst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rejestr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języka.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K_W17, K_W18</w:t>
            </w:r>
          </w:p>
        </w:tc>
      </w:tr>
      <w:tr w:rsidR="000729D3"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W_03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definiuje poznaną specjalistyczną 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terminologi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 angielską dotyczącą turystyki, prawa, medycyny, mody, techniki i marketingu, jak r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wnież wybrane pojęcia i zasady z zakresu ochrony własności przemysłowej i prawa autorskiego w kontekstach zawodowych oraz specyfikę języka specjalistycznego jako elementu kultury anglojęzycznej.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K_W15, K_W19, K_W20</w:t>
            </w:r>
          </w:p>
        </w:tc>
      </w:tr>
      <w:tr w:rsidR="000729D3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0729D3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 spos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b precyzyjny oraz poprawny logicznie i językowo wyraża własne myśli i poglądy w wybranych kontekstach zawodowych (turystyka, prawo, medycyna, moda, technika, marketing), stosując specjalistyczny język angielski i odpowiednie dla tych kontekst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rejestry języka.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K_U03, K_U04</w:t>
            </w:r>
          </w:p>
        </w:tc>
      </w:tr>
      <w:tr w:rsidR="000729D3"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poprawnie używa poznane angielskie słownictwo specjalistyczne z wybranych dziedzin (turystyka, prawo, medycyna, moda, technika, marketing) oraz wyszukuje, analizuje i dobiera ich właściwe polskie ekwiwalenty, a także stosuje odpowiednie metody i narzędzia pozwalające na analizowanie angielskich tekst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specjalistycznych.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K_U02, K_U05, K_U06</w:t>
            </w:r>
          </w:p>
        </w:tc>
      </w:tr>
      <w:tr w:rsidR="000729D3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samodzielnie rozwija swoje umiejętności w zakresie stosowania specjalistycznego języka angielskiego w typowych sytuacjach profesjonalnych, uwzględniając zależnoś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ci mi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ędzy specjalistyczną 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terminologi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 angielską a specyfiką dziedzin, w kt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rych są stosowane.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K_U07, K_U08, K_U09</w:t>
            </w:r>
          </w:p>
        </w:tc>
      </w:tr>
      <w:tr w:rsidR="000729D3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0729D3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pracuje w zespole podczas dyskusji i rozwiązywania problem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w różnych kontekstach zawodowych, przyjmując różne role i organizując działania innych członk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grupy.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K_K04, K_K05</w:t>
            </w:r>
          </w:p>
        </w:tc>
      </w:tr>
      <w:tr w:rsidR="000729D3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wykazuje odpowiedzialność za planowanie swoich działań mających na celu realizację stawianych sobie zadań, w szczeg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lności w zakresie poszerzania swojej wiedzy na temat specjalistycznego języka angielskiego i angielskiej terminologii specjalistycznej.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K_K06</w:t>
            </w:r>
          </w:p>
        </w:tc>
      </w:tr>
      <w:tr w:rsidR="000729D3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wyjaśnia i akceptuje zależność między jakością i poziomem uzyskanego narzędzia w postaci specjalistycznego języka angielskiego w wybranych kontekstach zawodowych a jego/jej postrzeganiem jako osoby przez świat zewnętrzny, w szczeg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lności przez środowisko zawodowe.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K_K07, K_K08</w:t>
            </w:r>
          </w:p>
        </w:tc>
      </w:tr>
    </w:tbl>
    <w:p w:rsidR="000729D3" w:rsidRDefault="000729D3" w:rsidP="005924EA">
      <w:pPr>
        <w:pStyle w:val="Body"/>
        <w:widowControl w:val="0"/>
        <w:tabs>
          <w:tab w:val="left" w:pos="1080"/>
        </w:tabs>
        <w:spacing w:after="200"/>
        <w:ind w:left="393"/>
      </w:pPr>
    </w:p>
    <w:p w:rsidR="005924EA" w:rsidRDefault="005924EA" w:rsidP="005924EA">
      <w:pPr>
        <w:pStyle w:val="Body"/>
        <w:widowControl w:val="0"/>
        <w:tabs>
          <w:tab w:val="left" w:pos="1080"/>
        </w:tabs>
        <w:spacing w:after="200"/>
        <w:ind w:left="393"/>
      </w:pPr>
    </w:p>
    <w:p w:rsidR="005924EA" w:rsidRDefault="005924EA" w:rsidP="005924EA">
      <w:pPr>
        <w:pStyle w:val="Body"/>
        <w:widowControl w:val="0"/>
        <w:tabs>
          <w:tab w:val="left" w:pos="1080"/>
        </w:tabs>
        <w:spacing w:after="200"/>
        <w:ind w:left="393"/>
      </w:pPr>
    </w:p>
    <w:p w:rsidR="005924EA" w:rsidRDefault="005924EA" w:rsidP="005924EA">
      <w:pPr>
        <w:pStyle w:val="Body"/>
        <w:widowControl w:val="0"/>
        <w:tabs>
          <w:tab w:val="left" w:pos="1080"/>
        </w:tabs>
        <w:spacing w:after="200"/>
        <w:ind w:left="393"/>
      </w:pPr>
    </w:p>
    <w:p w:rsidR="005924EA" w:rsidRDefault="005924EA" w:rsidP="005924EA">
      <w:pPr>
        <w:pStyle w:val="Body"/>
        <w:widowControl w:val="0"/>
        <w:tabs>
          <w:tab w:val="left" w:pos="1080"/>
        </w:tabs>
        <w:spacing w:after="200"/>
        <w:ind w:left="393"/>
      </w:pPr>
    </w:p>
    <w:p w:rsidR="005924EA" w:rsidRDefault="005924EA" w:rsidP="005924EA">
      <w:pPr>
        <w:pStyle w:val="Body"/>
        <w:widowControl w:val="0"/>
        <w:tabs>
          <w:tab w:val="left" w:pos="1080"/>
        </w:tabs>
        <w:spacing w:after="200"/>
        <w:ind w:left="393"/>
      </w:pPr>
    </w:p>
    <w:p w:rsidR="000729D3" w:rsidRDefault="000729D3">
      <w:pPr>
        <w:pStyle w:val="Body"/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29D3" w:rsidRDefault="009355A6">
      <w:pPr>
        <w:pStyle w:val="Body"/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Opis przedmiotu / treści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7"/>
      </w:tblGrid>
      <w:tr w:rsidR="000729D3">
        <w:trPr>
          <w:trHeight w:val="457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2"/>
                <w:szCs w:val="22"/>
              </w:rPr>
              <w:t>Semestr V: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1. English for the Travel and Tourism Industry 1 (travel agencies, marketing and promotion)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2. English for the Travel and Tourism Industry 2 (transport in tourism, airline industry)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3. Legal English 1 (basic legal terms and concepts)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4. Legal English 2 (criminal law and criminal procedure)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5. Legal English 3 (law of contract, employment law, family law)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6. Medical English 1 (parts of the body, medical examination, instruments and equipment)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7. Medical English 2 (screening and immunization, infectious diseases, pregnancy and labour)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8. Medical English 3 (hospital departments, medical practitioners, healthcare services in the UK, medical ethics)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924EA">
              <w:rPr>
                <w:rStyle w:val="None"/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Semestr VI: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1. English for the Fashion Industry 1 (textiles, garment construction and production)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2. English for the Fashion Industry 2 (promotion, events, retail)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3. Technical English 1 (materials, technical drawing, machine tools)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4. Technical English 2 (electricity, energy, electronics)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5. Technical English 3 (computer technology, automation, robotics)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6. English for Marketing 1 (marketing mix, SWOT analysis, marketing strategy and marketing plan)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7. English for Marketing 2 (marketing ethics, legal aspects of marketing, marketing research)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8. English for Marketing 3 (product marketing, management and distribution, pricing, advertising)</w:t>
            </w:r>
          </w:p>
        </w:tc>
      </w:tr>
    </w:tbl>
    <w:p w:rsidR="000729D3" w:rsidRPr="005924EA" w:rsidRDefault="000729D3" w:rsidP="005924EA">
      <w:pPr>
        <w:pStyle w:val="Body"/>
        <w:widowControl w:val="0"/>
        <w:tabs>
          <w:tab w:val="left" w:pos="1080"/>
        </w:tabs>
        <w:spacing w:after="200"/>
        <w:ind w:left="393"/>
        <w:rPr>
          <w:lang w:val="en-US"/>
        </w:rPr>
      </w:pPr>
    </w:p>
    <w:p w:rsidR="000729D3" w:rsidRPr="005924EA" w:rsidRDefault="000729D3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:rsidR="000729D3" w:rsidRDefault="009355A6">
      <w:pPr>
        <w:pStyle w:val="Body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Metody realizacji i weryfikacji efekt</w:t>
      </w:r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w uczenia się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2942"/>
        <w:gridCol w:w="2942"/>
        <w:gridCol w:w="2943"/>
      </w:tblGrid>
      <w:tr w:rsidR="000729D3">
        <w:trPr>
          <w:trHeight w:val="52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spacing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Metody dydaktyczne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Metody weryfikacji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Sposoby dokumentacji</w:t>
            </w:r>
          </w:p>
        </w:tc>
      </w:tr>
      <w:tr w:rsidR="000729D3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0729D3" w:rsidRPr="005924E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Miniwykład wprowadzający / Wyjaśnienie poszczeg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lnych zagadnień, Praca z tekstem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Kolokwium / Test / Sprawdzian pisemny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0729D3" w:rsidRPr="005924EA"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z tekstem, 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Kolokwium / Test / Sprawdzian pisemny, Odpowiedź ustna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Uzupełnione i ocenione kolokwium / test / sprawdzian pisemny, Zapis w arkuszu ocen (aktywność i poprawność językowa)</w:t>
            </w:r>
          </w:p>
        </w:tc>
      </w:tr>
      <w:tr w:rsidR="000729D3" w:rsidRPr="005924EA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Miniwykład wprowadzający / Wyjaśnienie poszczeg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lnych zagadnień, Praca z tekstem, 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Kolokwium / Test / Sprawdzian pisemny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0729D3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keepNext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lastRenderedPageBreak/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0729D3" w:rsidRPr="005924E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zespołowa, Praca indywidualna, Ćwiczenia praktyczne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Kolokwium / Test / Sprawdzian pisemny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0729D3" w:rsidRPr="005924E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Analiza tekstu, Ćwiczenia praktyczne, Praca indywidualna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Kolokwium / Test / Sprawdzian pisemny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0729D3" w:rsidRPr="005924E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Burza m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zg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w/giełda pomysłów, Dyskusja, Praca zespołowa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Odpowiedź ustna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 (aktywność i poprawność językowa)</w:t>
            </w:r>
          </w:p>
        </w:tc>
      </w:tr>
      <w:tr w:rsidR="000729D3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0729D3" w:rsidRPr="005924E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zespołowa, Ćwiczenia praktyczne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Odpowiedź ustna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 (aktywność i poprawność językowa)</w:t>
            </w:r>
          </w:p>
        </w:tc>
      </w:tr>
      <w:tr w:rsidR="000729D3" w:rsidRPr="005924E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indywidualna, Ćwiczenia praktyczne, 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Odpowiedź ustna i informacja zwrotna od grupy i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 (aktywność i poprawność językowa)</w:t>
            </w:r>
          </w:p>
        </w:tc>
      </w:tr>
      <w:tr w:rsidR="000729D3" w:rsidRPr="005924E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Odpowiedź ustna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Zapis w arkuszu ocen (aktywność i poprawność językowa) </w:t>
            </w:r>
          </w:p>
        </w:tc>
      </w:tr>
    </w:tbl>
    <w:p w:rsidR="000729D3" w:rsidRDefault="000729D3" w:rsidP="005924EA">
      <w:pPr>
        <w:pStyle w:val="Body"/>
        <w:widowControl w:val="0"/>
        <w:tabs>
          <w:tab w:val="left" w:pos="1080"/>
        </w:tabs>
        <w:spacing w:after="200"/>
      </w:pPr>
    </w:p>
    <w:p w:rsidR="000729D3" w:rsidRDefault="000729D3">
      <w:pPr>
        <w:pStyle w:val="Body"/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29D3" w:rsidRDefault="009355A6">
      <w:pPr>
        <w:pStyle w:val="Body"/>
        <w:keepNext/>
        <w:numPr>
          <w:ilvl w:val="0"/>
          <w:numId w:val="2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Kryteria oceny, wagi…</w:t>
      </w:r>
    </w:p>
    <w:p w:rsidR="000729D3" w:rsidRDefault="009355A6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Studenci oceniani są na podstawie wynik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w trzech test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w pisemnych wymagających wykazania praktycznej znajomości zastosowania specjalistycznego słownictwa angielskiego poznanego na zajęciach w różnych kontekstach zawodowych (turystyka, prawo, medycyna, moda, technika, marketing).</w:t>
      </w:r>
    </w:p>
    <w:p w:rsidR="000729D3" w:rsidRDefault="009355A6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Studenci oceniani są </w:t>
      </w:r>
      <w:r w:rsidRPr="005924EA">
        <w:rPr>
          <w:rStyle w:val="None"/>
          <w:rFonts w:ascii="Times New Roman" w:hAnsi="Times New Roman"/>
          <w:sz w:val="22"/>
          <w:szCs w:val="22"/>
        </w:rPr>
        <w:t>wed</w:t>
      </w:r>
      <w:r>
        <w:rPr>
          <w:rStyle w:val="None"/>
          <w:rFonts w:ascii="Times New Roman" w:hAnsi="Times New Roman"/>
          <w:sz w:val="22"/>
          <w:szCs w:val="22"/>
        </w:rPr>
        <w:t>ług następującej skali:</w:t>
      </w:r>
    </w:p>
    <w:p w:rsidR="000729D3" w:rsidRDefault="009355A6">
      <w:pPr>
        <w:pStyle w:val="Body"/>
        <w:tabs>
          <w:tab w:val="left" w:pos="567"/>
        </w:tabs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5</w:t>
      </w:r>
      <w:r>
        <w:rPr>
          <w:rStyle w:val="None"/>
          <w:rFonts w:ascii="Times New Roman" w:hAnsi="Times New Roman"/>
          <w:sz w:val="22"/>
          <w:szCs w:val="22"/>
        </w:rPr>
        <w:tab/>
        <w:t>100-93%</w:t>
      </w:r>
    </w:p>
    <w:p w:rsidR="000729D3" w:rsidRDefault="009355A6">
      <w:pPr>
        <w:pStyle w:val="Body"/>
        <w:tabs>
          <w:tab w:val="left" w:pos="567"/>
        </w:tabs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4.5</w:t>
      </w:r>
      <w:r>
        <w:rPr>
          <w:rStyle w:val="None"/>
          <w:rFonts w:ascii="Times New Roman" w:hAnsi="Times New Roman"/>
          <w:sz w:val="22"/>
          <w:szCs w:val="22"/>
        </w:rPr>
        <w:tab/>
        <w:t>92-85%</w:t>
      </w:r>
    </w:p>
    <w:p w:rsidR="000729D3" w:rsidRDefault="009355A6">
      <w:pPr>
        <w:pStyle w:val="Body"/>
        <w:tabs>
          <w:tab w:val="left" w:pos="567"/>
        </w:tabs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4</w:t>
      </w:r>
      <w:r>
        <w:rPr>
          <w:rStyle w:val="None"/>
          <w:rFonts w:ascii="Times New Roman" w:hAnsi="Times New Roman"/>
          <w:sz w:val="22"/>
          <w:szCs w:val="22"/>
        </w:rPr>
        <w:tab/>
        <w:t>84-77%</w:t>
      </w:r>
    </w:p>
    <w:p w:rsidR="000729D3" w:rsidRDefault="009355A6">
      <w:pPr>
        <w:pStyle w:val="Body"/>
        <w:tabs>
          <w:tab w:val="left" w:pos="567"/>
        </w:tabs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3.5</w:t>
      </w:r>
      <w:r>
        <w:rPr>
          <w:rStyle w:val="None"/>
          <w:rFonts w:ascii="Times New Roman" w:hAnsi="Times New Roman"/>
          <w:sz w:val="22"/>
          <w:szCs w:val="22"/>
        </w:rPr>
        <w:tab/>
        <w:t>76-69%</w:t>
      </w:r>
    </w:p>
    <w:p w:rsidR="000729D3" w:rsidRDefault="009355A6">
      <w:pPr>
        <w:pStyle w:val="Body"/>
        <w:tabs>
          <w:tab w:val="left" w:pos="567"/>
        </w:tabs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3</w:t>
      </w:r>
      <w:r>
        <w:rPr>
          <w:rStyle w:val="None"/>
          <w:rFonts w:ascii="Times New Roman" w:hAnsi="Times New Roman"/>
          <w:sz w:val="22"/>
          <w:szCs w:val="22"/>
        </w:rPr>
        <w:tab/>
        <w:t>68-60%</w:t>
      </w:r>
    </w:p>
    <w:p w:rsidR="000729D3" w:rsidRDefault="009355A6">
      <w:pPr>
        <w:pStyle w:val="Body"/>
        <w:tabs>
          <w:tab w:val="left" w:pos="567"/>
        </w:tabs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2</w:t>
      </w:r>
      <w:r>
        <w:rPr>
          <w:rStyle w:val="None"/>
          <w:rFonts w:ascii="Times New Roman" w:hAnsi="Times New Roman"/>
          <w:sz w:val="22"/>
          <w:szCs w:val="22"/>
        </w:rPr>
        <w:tab/>
        <w:t>59-0%</w:t>
      </w:r>
    </w:p>
    <w:p w:rsidR="000729D3" w:rsidRDefault="000729D3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924EA" w:rsidRPr="00A63602" w:rsidRDefault="00A63602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Cs/>
          <w:sz w:val="22"/>
          <w:szCs w:val="22"/>
        </w:rPr>
      </w:pPr>
      <w:r w:rsidRPr="00A63602">
        <w:rPr>
          <w:rStyle w:val="None"/>
          <w:rFonts w:ascii="Times New Roman" w:eastAsia="Times New Roman" w:hAnsi="Times New Roman" w:cs="Times New Roman"/>
          <w:bCs/>
          <w:sz w:val="22"/>
          <w:szCs w:val="22"/>
        </w:rPr>
        <w:t>Liczba dozwolonych nieobecności: 1 nieobecność nieusprawiedliwiona (na semestr)</w:t>
      </w:r>
    </w:p>
    <w:p w:rsidR="005924EA" w:rsidRDefault="005924EA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63602" w:rsidRDefault="00A63602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0729D3" w:rsidRDefault="009355A6">
      <w:pPr>
        <w:pStyle w:val="Body"/>
        <w:numPr>
          <w:ilvl w:val="0"/>
          <w:numId w:val="25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Obciążenie pracą 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0729D3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spacing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0729D3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36</w:t>
            </w:r>
          </w:p>
        </w:tc>
      </w:tr>
      <w:tr w:rsidR="000729D3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9D3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94</w:t>
            </w:r>
          </w:p>
        </w:tc>
      </w:tr>
    </w:tbl>
    <w:p w:rsidR="000729D3" w:rsidRDefault="000729D3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29D3" w:rsidRDefault="000729D3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29D3" w:rsidRDefault="009355A6">
      <w:pPr>
        <w:pStyle w:val="Body"/>
        <w:keepNext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80"/>
      </w:tblGrid>
      <w:tr w:rsidR="000729D3"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keepNext/>
              <w:spacing w:before="120" w:after="12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0729D3">
        <w:trPr>
          <w:trHeight w:val="301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426" w:hanging="426"/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Brown, Gillian D., and Sally Rice. 2007.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 xml:space="preserve">Professional English in Use </w:t>
            </w:r>
            <w:r w:rsidRPr="005924EA"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>Law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. Cambridge, UK: Cambridge University Press.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426" w:hanging="426"/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Farrall, Cate, and Marianne Lindsley. 2008.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 xml:space="preserve">Professional English in Use </w:t>
            </w:r>
            <w:r w:rsidRPr="005924EA"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>Marketing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. Cambridge, UK: Cambridge University Press.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426" w:hanging="426"/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Glendinning, Eric H., and Ron Howard. 2007.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 xml:space="preserve">Professional English in Use </w:t>
            </w:r>
            <w:r w:rsidRPr="005924EA"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it-IT"/>
              </w:rPr>
              <w:t>Medicine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. Cambridge, UK: Cambridge University Press.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426" w:hanging="426"/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it-IT"/>
              </w:rPr>
              <w:t xml:space="preserve">Sopranzi, Sabrina. 2012.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>Flash on English: For Mechanics, Electronics &amp; Technical Assistance</w:t>
            </w:r>
            <w:r w:rsidRPr="005924EA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. Recanati: ELI.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426" w:hanging="426"/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  <w:lang w:val="en-US"/>
              </w:rPr>
            </w:pPr>
            <w:r w:rsidRPr="005924EA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Strutt, Peter. 2003.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>English For International Tourism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. Harlow, UK: Pearson Education Limited.</w:t>
            </w:r>
          </w:p>
          <w:p w:rsidR="000729D3" w:rsidRPr="005924EA" w:rsidRDefault="009355A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426" w:hanging="426"/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Ward, Mary E. 2012. </w:t>
            </w:r>
            <w:r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>English for the Fashion Industry</w:t>
            </w:r>
            <w:r w:rsidRPr="005924EA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. Oxford, UK: Oxford University Press.</w:t>
            </w:r>
          </w:p>
        </w:tc>
      </w:tr>
      <w:tr w:rsidR="000729D3"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9D3" w:rsidRDefault="009355A6">
            <w:pPr>
              <w:pStyle w:val="Body"/>
              <w:spacing w:before="120" w:after="120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Literatura uzupełniająca</w:t>
            </w:r>
          </w:p>
        </w:tc>
      </w:tr>
      <w:tr w:rsidR="000729D3">
        <w:trPr>
          <w:trHeight w:val="493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Bonamy, David. 2011.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Technical English 3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Harlow: Pearson Education Limited.</w:t>
            </w:r>
          </w:p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Bonamy, David. 2011.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Technical English 4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Harlow: Pearson Education Limited.</w:t>
            </w:r>
          </w:p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 xml:space="preserve">Brieger, Nick. 2002.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Test Your Professional English </w:t>
            </w:r>
            <w:r w:rsidRPr="005924EA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Law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Harlow, UK: Pearson Education Limited.</w:t>
            </w:r>
          </w:p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Grice, Tony. 2009.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English for Careers: Nursing 1</w:t>
            </w: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Oxford, UK: Oxford University Press.</w:t>
            </w:r>
          </w:p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Krois-Lindner, Amy. 2007.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International Legal English: A Course for Classroom or Self-Study Use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Cambridge, UK: Cambridge University Press.</w:t>
            </w:r>
          </w:p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McCarter, Sam. 2009.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English for Careers: Medicine 1</w:t>
            </w: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Oxford, UK: Oxford University Press.</w:t>
            </w:r>
          </w:p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pt-PT"/>
              </w:rPr>
              <w:t xml:space="preserve">McCarter, Sam. 2010.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English for Careers: Medicine 2</w:t>
            </w: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Oxford, UK: Oxford University Press.</w:t>
            </w:r>
          </w:p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Sierocka, Halina. 2014. </w:t>
            </w:r>
            <w:r w:rsidRPr="005924EA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 xml:space="preserve">Legal English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– Niezbędnik przyszłego prawnika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. </w:t>
            </w: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C.H. Beck.</w:t>
            </w:r>
          </w:p>
          <w:p w:rsidR="000729D3" w:rsidRPr="005924EA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Sweeney, Simon. 2002.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Test Your Professional English </w:t>
            </w:r>
            <w:r w:rsidRPr="005924EA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Marketing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Harlow, UK: Pearson Education Limited.</w:t>
            </w:r>
          </w:p>
          <w:p w:rsidR="000729D3" w:rsidRDefault="009355A6">
            <w:pPr>
              <w:pStyle w:val="Body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ind w:left="284" w:hanging="284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Walker, Robin, and Keith Harding. 2009.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English for Careers: Tourism 1</w:t>
            </w:r>
            <w:r w:rsidRPr="005924EA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Oxford, UK: Oxford University Press.</w:t>
            </w:r>
          </w:p>
        </w:tc>
      </w:tr>
    </w:tbl>
    <w:p w:rsidR="000729D3" w:rsidRDefault="000729D3" w:rsidP="005924EA">
      <w:pPr>
        <w:pStyle w:val="Body"/>
        <w:keepNext/>
        <w:widowControl w:val="0"/>
        <w:tabs>
          <w:tab w:val="left" w:pos="709"/>
        </w:tabs>
        <w:spacing w:after="200"/>
      </w:pPr>
    </w:p>
    <w:sectPr w:rsidR="000729D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74" w:rsidRDefault="006C2B74">
      <w:r>
        <w:separator/>
      </w:r>
    </w:p>
  </w:endnote>
  <w:endnote w:type="continuationSeparator" w:id="0">
    <w:p w:rsidR="006C2B74" w:rsidRDefault="006C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3" w:rsidRDefault="000729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74" w:rsidRDefault="006C2B74">
      <w:r>
        <w:separator/>
      </w:r>
    </w:p>
  </w:footnote>
  <w:footnote w:type="continuationSeparator" w:id="0">
    <w:p w:rsidR="006C2B74" w:rsidRDefault="006C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3" w:rsidRDefault="009355A6">
    <w:pPr>
      <w:pStyle w:val="Nagwek"/>
      <w:jc w:val="right"/>
    </w:pPr>
    <w:r>
      <w:rPr>
        <w:rStyle w:val="None"/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259"/>
    <w:multiLevelType w:val="hybridMultilevel"/>
    <w:tmpl w:val="C8DC15C2"/>
    <w:styleLink w:val="ImportedStyle1"/>
    <w:lvl w:ilvl="0" w:tplc="14B22E4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A6C0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4A6B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0B6C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0356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4018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0ED3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67B7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839D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B75730"/>
    <w:multiLevelType w:val="hybridMultilevel"/>
    <w:tmpl w:val="06D46784"/>
    <w:styleLink w:val="ImportedStyle6"/>
    <w:lvl w:ilvl="0" w:tplc="9B929BFA">
      <w:start w:val="1"/>
      <w:numFmt w:val="upperRoman"/>
      <w:lvlText w:val="%1."/>
      <w:lvlJc w:val="left"/>
      <w:pPr>
        <w:tabs>
          <w:tab w:val="num" w:pos="426"/>
          <w:tab w:val="left" w:pos="1080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E129A">
      <w:start w:val="1"/>
      <w:numFmt w:val="upperRoman"/>
      <w:lvlText w:val="%2."/>
      <w:lvlJc w:val="left"/>
      <w:pPr>
        <w:tabs>
          <w:tab w:val="left" w:pos="426"/>
          <w:tab w:val="num" w:pos="1146"/>
        </w:tabs>
        <w:ind w:left="17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27232">
      <w:start w:val="1"/>
      <w:numFmt w:val="upperRoman"/>
      <w:lvlText w:val="%3."/>
      <w:lvlJc w:val="left"/>
      <w:pPr>
        <w:tabs>
          <w:tab w:val="left" w:pos="426"/>
          <w:tab w:val="left" w:pos="1080"/>
          <w:tab w:val="num" w:pos="1866"/>
        </w:tabs>
        <w:ind w:left="25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CE568">
      <w:start w:val="1"/>
      <w:numFmt w:val="upperRoman"/>
      <w:lvlText w:val="%4."/>
      <w:lvlJc w:val="left"/>
      <w:pPr>
        <w:tabs>
          <w:tab w:val="left" w:pos="426"/>
          <w:tab w:val="left" w:pos="1080"/>
          <w:tab w:val="num" w:pos="2586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605586">
      <w:start w:val="1"/>
      <w:numFmt w:val="upperRoman"/>
      <w:lvlText w:val="%5."/>
      <w:lvlJc w:val="left"/>
      <w:pPr>
        <w:tabs>
          <w:tab w:val="left" w:pos="426"/>
          <w:tab w:val="left" w:pos="1080"/>
          <w:tab w:val="num" w:pos="3306"/>
        </w:tabs>
        <w:ind w:left="395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6A8B0">
      <w:start w:val="1"/>
      <w:numFmt w:val="upperRoman"/>
      <w:lvlText w:val="%6."/>
      <w:lvlJc w:val="left"/>
      <w:pPr>
        <w:tabs>
          <w:tab w:val="left" w:pos="426"/>
          <w:tab w:val="left" w:pos="1080"/>
          <w:tab w:val="num" w:pos="4026"/>
        </w:tabs>
        <w:ind w:left="46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A8540">
      <w:start w:val="1"/>
      <w:numFmt w:val="upperRoman"/>
      <w:lvlText w:val="%7."/>
      <w:lvlJc w:val="left"/>
      <w:pPr>
        <w:tabs>
          <w:tab w:val="left" w:pos="426"/>
          <w:tab w:val="left" w:pos="1080"/>
          <w:tab w:val="num" w:pos="4746"/>
        </w:tabs>
        <w:ind w:left="53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43C7C">
      <w:start w:val="1"/>
      <w:numFmt w:val="upperRoman"/>
      <w:lvlText w:val="%8."/>
      <w:lvlJc w:val="left"/>
      <w:pPr>
        <w:tabs>
          <w:tab w:val="left" w:pos="426"/>
          <w:tab w:val="left" w:pos="1080"/>
          <w:tab w:val="num" w:pos="5466"/>
        </w:tabs>
        <w:ind w:left="61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479FE">
      <w:start w:val="1"/>
      <w:numFmt w:val="upperRoman"/>
      <w:lvlText w:val="%9."/>
      <w:lvlJc w:val="left"/>
      <w:pPr>
        <w:tabs>
          <w:tab w:val="left" w:pos="426"/>
          <w:tab w:val="left" w:pos="1080"/>
          <w:tab w:val="num" w:pos="6186"/>
        </w:tabs>
        <w:ind w:left="68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B52195"/>
    <w:multiLevelType w:val="hybridMultilevel"/>
    <w:tmpl w:val="EA92AB98"/>
    <w:numStyleLink w:val="ImportedStyle4"/>
  </w:abstractNum>
  <w:abstractNum w:abstractNumId="3" w15:restartNumberingAfterBreak="0">
    <w:nsid w:val="2CF15C3C"/>
    <w:multiLevelType w:val="hybridMultilevel"/>
    <w:tmpl w:val="852669CA"/>
    <w:styleLink w:val="ImportedStyle2"/>
    <w:lvl w:ilvl="0" w:tplc="D6F637D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4C3C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32C96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6C04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6FCC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45B7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8087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EDB2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0F9B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27135F"/>
    <w:multiLevelType w:val="hybridMultilevel"/>
    <w:tmpl w:val="06D46784"/>
    <w:numStyleLink w:val="ImportedStyle6"/>
  </w:abstractNum>
  <w:abstractNum w:abstractNumId="5" w15:restartNumberingAfterBreak="0">
    <w:nsid w:val="41331289"/>
    <w:multiLevelType w:val="hybridMultilevel"/>
    <w:tmpl w:val="7F80B4B2"/>
    <w:styleLink w:val="ImportedStyle7"/>
    <w:lvl w:ilvl="0" w:tplc="9752AFB6">
      <w:start w:val="1"/>
      <w:numFmt w:val="upperRoman"/>
      <w:lvlText w:val="%1."/>
      <w:lvlJc w:val="left"/>
      <w:pPr>
        <w:tabs>
          <w:tab w:val="num" w:pos="360"/>
          <w:tab w:val="left" w:pos="567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CDF26">
      <w:start w:val="1"/>
      <w:numFmt w:val="upperRoman"/>
      <w:lvlText w:val="%2."/>
      <w:lvlJc w:val="left"/>
      <w:pPr>
        <w:tabs>
          <w:tab w:val="left" w:pos="360"/>
          <w:tab w:val="left" w:pos="567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EAB12">
      <w:start w:val="1"/>
      <w:numFmt w:val="upperRoman"/>
      <w:lvlText w:val="%3."/>
      <w:lvlJc w:val="left"/>
      <w:pPr>
        <w:tabs>
          <w:tab w:val="left" w:pos="360"/>
          <w:tab w:val="left" w:pos="567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E05F2">
      <w:start w:val="1"/>
      <w:numFmt w:val="upperRoman"/>
      <w:lvlText w:val="%4."/>
      <w:lvlJc w:val="left"/>
      <w:pPr>
        <w:tabs>
          <w:tab w:val="left" w:pos="360"/>
          <w:tab w:val="left" w:pos="567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0DD34">
      <w:start w:val="1"/>
      <w:numFmt w:val="upperRoman"/>
      <w:lvlText w:val="%5."/>
      <w:lvlJc w:val="left"/>
      <w:pPr>
        <w:tabs>
          <w:tab w:val="left" w:pos="360"/>
          <w:tab w:val="left" w:pos="567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42936">
      <w:start w:val="1"/>
      <w:numFmt w:val="upperRoman"/>
      <w:lvlText w:val="%6."/>
      <w:lvlJc w:val="left"/>
      <w:pPr>
        <w:tabs>
          <w:tab w:val="left" w:pos="360"/>
          <w:tab w:val="left" w:pos="567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81922">
      <w:start w:val="1"/>
      <w:numFmt w:val="upperRoman"/>
      <w:lvlText w:val="%7."/>
      <w:lvlJc w:val="left"/>
      <w:pPr>
        <w:tabs>
          <w:tab w:val="left" w:pos="360"/>
          <w:tab w:val="left" w:pos="567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06748">
      <w:start w:val="1"/>
      <w:numFmt w:val="upperRoman"/>
      <w:lvlText w:val="%8."/>
      <w:lvlJc w:val="left"/>
      <w:pPr>
        <w:tabs>
          <w:tab w:val="left" w:pos="360"/>
          <w:tab w:val="left" w:pos="567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871B6">
      <w:start w:val="1"/>
      <w:numFmt w:val="upperRoman"/>
      <w:lvlText w:val="%9."/>
      <w:lvlJc w:val="left"/>
      <w:pPr>
        <w:tabs>
          <w:tab w:val="left" w:pos="360"/>
          <w:tab w:val="left" w:pos="567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E3BC6"/>
    <w:multiLevelType w:val="hybridMultilevel"/>
    <w:tmpl w:val="7F80B4B2"/>
    <w:numStyleLink w:val="ImportedStyle7"/>
  </w:abstractNum>
  <w:abstractNum w:abstractNumId="7" w15:restartNumberingAfterBreak="0">
    <w:nsid w:val="43177A0B"/>
    <w:multiLevelType w:val="hybridMultilevel"/>
    <w:tmpl w:val="852669CA"/>
    <w:numStyleLink w:val="ImportedStyle2"/>
  </w:abstractNum>
  <w:abstractNum w:abstractNumId="8" w15:restartNumberingAfterBreak="0">
    <w:nsid w:val="49656C60"/>
    <w:multiLevelType w:val="hybridMultilevel"/>
    <w:tmpl w:val="EA92AB98"/>
    <w:styleLink w:val="ImportedStyle4"/>
    <w:lvl w:ilvl="0" w:tplc="5D0C106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2F09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2B2E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C280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63A7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46DF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04B0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D0366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AFA1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851580"/>
    <w:multiLevelType w:val="hybridMultilevel"/>
    <w:tmpl w:val="1F7C1FB8"/>
    <w:styleLink w:val="ImportedStyle3"/>
    <w:lvl w:ilvl="0" w:tplc="59E639F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CA05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69E0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27E2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B0FF8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223B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A5CD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8791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27A0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6E082A"/>
    <w:multiLevelType w:val="hybridMultilevel"/>
    <w:tmpl w:val="E2BE0F18"/>
    <w:styleLink w:val="ImportedStyle8"/>
    <w:lvl w:ilvl="0" w:tplc="7BBA1E84">
      <w:start w:val="1"/>
      <w:numFmt w:val="upperRoman"/>
      <w:lvlText w:val="%1."/>
      <w:lvlJc w:val="left"/>
      <w:pPr>
        <w:tabs>
          <w:tab w:val="num" w:pos="360"/>
          <w:tab w:val="left" w:pos="709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668C2">
      <w:start w:val="1"/>
      <w:numFmt w:val="upperRoman"/>
      <w:lvlText w:val="%2."/>
      <w:lvlJc w:val="left"/>
      <w:pPr>
        <w:tabs>
          <w:tab w:val="left" w:pos="360"/>
          <w:tab w:val="left" w:pos="709"/>
          <w:tab w:val="num" w:pos="1080"/>
        </w:tabs>
        <w:ind w:left="17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2E690">
      <w:start w:val="1"/>
      <w:numFmt w:val="upperRoman"/>
      <w:lvlText w:val="%3."/>
      <w:lvlJc w:val="left"/>
      <w:pPr>
        <w:tabs>
          <w:tab w:val="left" w:pos="360"/>
          <w:tab w:val="left" w:pos="709"/>
          <w:tab w:val="num" w:pos="1800"/>
        </w:tabs>
        <w:ind w:left="25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64A68">
      <w:start w:val="1"/>
      <w:numFmt w:val="upperRoman"/>
      <w:lvlText w:val="%4."/>
      <w:lvlJc w:val="left"/>
      <w:pPr>
        <w:tabs>
          <w:tab w:val="left" w:pos="360"/>
          <w:tab w:val="left" w:pos="709"/>
          <w:tab w:val="num" w:pos="2520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8F662">
      <w:start w:val="1"/>
      <w:numFmt w:val="upperRoman"/>
      <w:lvlText w:val="%5."/>
      <w:lvlJc w:val="left"/>
      <w:pPr>
        <w:tabs>
          <w:tab w:val="left" w:pos="360"/>
          <w:tab w:val="left" w:pos="709"/>
          <w:tab w:val="num" w:pos="3240"/>
        </w:tabs>
        <w:ind w:left="395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C32D0">
      <w:start w:val="1"/>
      <w:numFmt w:val="upperRoman"/>
      <w:lvlText w:val="%6."/>
      <w:lvlJc w:val="left"/>
      <w:pPr>
        <w:tabs>
          <w:tab w:val="left" w:pos="360"/>
          <w:tab w:val="left" w:pos="709"/>
          <w:tab w:val="num" w:pos="3960"/>
        </w:tabs>
        <w:ind w:left="46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E4382">
      <w:start w:val="1"/>
      <w:numFmt w:val="upperRoman"/>
      <w:lvlText w:val="%7."/>
      <w:lvlJc w:val="left"/>
      <w:pPr>
        <w:tabs>
          <w:tab w:val="left" w:pos="360"/>
          <w:tab w:val="left" w:pos="709"/>
          <w:tab w:val="num" w:pos="4680"/>
        </w:tabs>
        <w:ind w:left="53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C8F6A">
      <w:start w:val="1"/>
      <w:numFmt w:val="upperRoman"/>
      <w:lvlText w:val="%8."/>
      <w:lvlJc w:val="left"/>
      <w:pPr>
        <w:tabs>
          <w:tab w:val="left" w:pos="360"/>
          <w:tab w:val="left" w:pos="709"/>
          <w:tab w:val="num" w:pos="5400"/>
        </w:tabs>
        <w:ind w:left="61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449A2">
      <w:start w:val="1"/>
      <w:numFmt w:val="upperRoman"/>
      <w:lvlText w:val="%9."/>
      <w:lvlJc w:val="left"/>
      <w:pPr>
        <w:tabs>
          <w:tab w:val="left" w:pos="360"/>
          <w:tab w:val="left" w:pos="709"/>
          <w:tab w:val="num" w:pos="6120"/>
        </w:tabs>
        <w:ind w:left="68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3243BE"/>
    <w:multiLevelType w:val="hybridMultilevel"/>
    <w:tmpl w:val="C8DC15C2"/>
    <w:numStyleLink w:val="ImportedStyle1"/>
  </w:abstractNum>
  <w:abstractNum w:abstractNumId="12" w15:restartNumberingAfterBreak="0">
    <w:nsid w:val="66EE0868"/>
    <w:multiLevelType w:val="hybridMultilevel"/>
    <w:tmpl w:val="E2BE0F18"/>
    <w:numStyleLink w:val="ImportedStyle8"/>
  </w:abstractNum>
  <w:abstractNum w:abstractNumId="13" w15:restartNumberingAfterBreak="0">
    <w:nsid w:val="6F182A9F"/>
    <w:multiLevelType w:val="hybridMultilevel"/>
    <w:tmpl w:val="8C2ABB08"/>
    <w:styleLink w:val="ImportedStyle5"/>
    <w:lvl w:ilvl="0" w:tplc="DB4483D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C8DF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A743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8295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E0F1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0EB5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83D5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E5C8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8500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862FE6"/>
    <w:multiLevelType w:val="hybridMultilevel"/>
    <w:tmpl w:val="8C2ABB08"/>
    <w:numStyleLink w:val="ImportedStyle5"/>
  </w:abstractNum>
  <w:abstractNum w:abstractNumId="15" w15:restartNumberingAfterBreak="0">
    <w:nsid w:val="7AC70786"/>
    <w:multiLevelType w:val="hybridMultilevel"/>
    <w:tmpl w:val="1F7C1FB8"/>
    <w:numStyleLink w:val="ImportedStyle3"/>
  </w:abstractNum>
  <w:num w:numId="1">
    <w:abstractNumId w:val="0"/>
  </w:num>
  <w:num w:numId="2">
    <w:abstractNumId w:val="11"/>
  </w:num>
  <w:num w:numId="3">
    <w:abstractNumId w:val="11"/>
    <w:lvlOverride w:ilvl="0">
      <w:lvl w:ilvl="0" w:tplc="42DAF4A4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63F7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EE2C7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92F66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14F1B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006A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56E08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25EC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BC970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7"/>
  </w:num>
  <w:num w:numId="6">
    <w:abstractNumId w:val="7"/>
    <w:lvlOverride w:ilvl="0">
      <w:startOverride w:val="2"/>
    </w:lvlOverride>
  </w:num>
  <w:num w:numId="7">
    <w:abstractNumId w:val="7"/>
    <w:lvlOverride w:ilvl="0">
      <w:lvl w:ilvl="0" w:tplc="E196CC5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D0B1FA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96DDE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B0F68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C80D8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5636F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2E2D9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8C20D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5248D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5"/>
  </w:num>
  <w:num w:numId="10">
    <w:abstractNumId w:val="15"/>
    <w:lvlOverride w:ilvl="0">
      <w:startOverride w:val="3"/>
    </w:lvlOverride>
  </w:num>
  <w:num w:numId="11">
    <w:abstractNumId w:val="15"/>
    <w:lvlOverride w:ilvl="0">
      <w:lvl w:ilvl="0" w:tplc="DFFC6FF4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FAEFC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AAA33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20889C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B8B87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4A994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E00BE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50EA5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6E50C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2"/>
  </w:num>
  <w:num w:numId="14">
    <w:abstractNumId w:val="2"/>
    <w:lvlOverride w:ilvl="0">
      <w:startOverride w:val="4"/>
    </w:lvlOverride>
  </w:num>
  <w:num w:numId="15">
    <w:abstractNumId w:val="2"/>
    <w:lvlOverride w:ilvl="0">
      <w:lvl w:ilvl="0" w:tplc="EA929B30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6E758C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1E103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6C975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CEC9C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7809E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1895E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88A18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9CA9E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4"/>
  </w:num>
  <w:num w:numId="18">
    <w:abstractNumId w:val="14"/>
    <w:lvlOverride w:ilvl="0">
      <w:startOverride w:val="5"/>
    </w:lvlOverride>
  </w:num>
  <w:num w:numId="19">
    <w:abstractNumId w:val="14"/>
    <w:lvlOverride w:ilvl="0">
      <w:lvl w:ilvl="0" w:tplc="FC20255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226042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74524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26725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0E6F2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AAB1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885D7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F20CE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6AF80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</w:num>
  <w:num w:numId="21">
    <w:abstractNumId w:val="4"/>
  </w:num>
  <w:num w:numId="22">
    <w:abstractNumId w:val="4"/>
    <w:lvlOverride w:ilvl="0">
      <w:startOverride w:val="6"/>
    </w:lvlOverride>
  </w:num>
  <w:num w:numId="23">
    <w:abstractNumId w:val="5"/>
  </w:num>
  <w:num w:numId="24">
    <w:abstractNumId w:val="6"/>
  </w:num>
  <w:num w:numId="25">
    <w:abstractNumId w:val="6"/>
    <w:lvlOverride w:ilvl="0">
      <w:startOverride w:val="7"/>
    </w:lvlOverride>
  </w:num>
  <w:num w:numId="26">
    <w:abstractNumId w:val="6"/>
    <w:lvlOverride w:ilvl="0">
      <w:lvl w:ilvl="0" w:tplc="39FCD108">
        <w:start w:val="1"/>
        <w:numFmt w:val="upperRoman"/>
        <w:lvlText w:val="%1."/>
        <w:lvlJc w:val="left"/>
        <w:pPr>
          <w:tabs>
            <w:tab w:val="left" w:pos="567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46CB12">
        <w:start w:val="1"/>
        <w:numFmt w:val="upperRoman"/>
        <w:lvlText w:val="%2."/>
        <w:lvlJc w:val="left"/>
        <w:pPr>
          <w:tabs>
            <w:tab w:val="left" w:pos="360"/>
            <w:tab w:val="left" w:pos="567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123AA6">
        <w:start w:val="1"/>
        <w:numFmt w:val="upperRoman"/>
        <w:lvlText w:val="%3."/>
        <w:lvlJc w:val="left"/>
        <w:pPr>
          <w:tabs>
            <w:tab w:val="left" w:pos="360"/>
            <w:tab w:val="left" w:pos="567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AE14AE">
        <w:start w:val="1"/>
        <w:numFmt w:val="upperRoman"/>
        <w:lvlText w:val="%4."/>
        <w:lvlJc w:val="left"/>
        <w:pPr>
          <w:tabs>
            <w:tab w:val="left" w:pos="360"/>
            <w:tab w:val="left" w:pos="567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7AA18C">
        <w:start w:val="1"/>
        <w:numFmt w:val="upperRoman"/>
        <w:lvlText w:val="%5."/>
        <w:lvlJc w:val="left"/>
        <w:pPr>
          <w:tabs>
            <w:tab w:val="left" w:pos="360"/>
            <w:tab w:val="left" w:pos="567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74E7FA">
        <w:start w:val="1"/>
        <w:numFmt w:val="upperRoman"/>
        <w:lvlText w:val="%6."/>
        <w:lvlJc w:val="left"/>
        <w:pPr>
          <w:tabs>
            <w:tab w:val="left" w:pos="360"/>
            <w:tab w:val="left" w:pos="567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E48C8">
        <w:start w:val="1"/>
        <w:numFmt w:val="upperRoman"/>
        <w:lvlText w:val="%7."/>
        <w:lvlJc w:val="left"/>
        <w:pPr>
          <w:tabs>
            <w:tab w:val="left" w:pos="360"/>
            <w:tab w:val="left" w:pos="567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64B2DA">
        <w:start w:val="1"/>
        <w:numFmt w:val="upperRoman"/>
        <w:lvlText w:val="%8."/>
        <w:lvlJc w:val="left"/>
        <w:pPr>
          <w:tabs>
            <w:tab w:val="left" w:pos="360"/>
            <w:tab w:val="left" w:pos="567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2660C4">
        <w:start w:val="1"/>
        <w:numFmt w:val="upperRoman"/>
        <w:lvlText w:val="%9."/>
        <w:lvlJc w:val="left"/>
        <w:pPr>
          <w:tabs>
            <w:tab w:val="left" w:pos="360"/>
            <w:tab w:val="left" w:pos="567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0"/>
  </w:num>
  <w:num w:numId="28">
    <w:abstractNumId w:val="12"/>
  </w:num>
  <w:num w:numId="29">
    <w:abstractNumId w:val="12"/>
    <w:lvlOverride w:ilvl="0">
      <w:startOverride w:val="8"/>
    </w:lvlOverride>
  </w:num>
  <w:num w:numId="30">
    <w:abstractNumId w:val="12"/>
    <w:lvlOverride w:ilvl="0">
      <w:lvl w:ilvl="0" w:tplc="0680A9D0">
        <w:start w:val="1"/>
        <w:numFmt w:val="upperRoman"/>
        <w:lvlText w:val="%1."/>
        <w:lvlJc w:val="left"/>
        <w:pPr>
          <w:tabs>
            <w:tab w:val="left" w:pos="709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3E0D34">
        <w:start w:val="1"/>
        <w:numFmt w:val="upperRoman"/>
        <w:lvlText w:val="%2."/>
        <w:lvlJc w:val="left"/>
        <w:pPr>
          <w:tabs>
            <w:tab w:val="left" w:pos="360"/>
            <w:tab w:val="left" w:pos="709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107268">
        <w:start w:val="1"/>
        <w:numFmt w:val="upperRoman"/>
        <w:lvlText w:val="%3."/>
        <w:lvlJc w:val="left"/>
        <w:pPr>
          <w:tabs>
            <w:tab w:val="left" w:pos="360"/>
            <w:tab w:val="left" w:pos="709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AA77B6">
        <w:start w:val="1"/>
        <w:numFmt w:val="upperRoman"/>
        <w:lvlText w:val="%4."/>
        <w:lvlJc w:val="left"/>
        <w:pPr>
          <w:tabs>
            <w:tab w:val="left" w:pos="360"/>
            <w:tab w:val="left" w:pos="709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761CA0">
        <w:start w:val="1"/>
        <w:numFmt w:val="upperRoman"/>
        <w:lvlText w:val="%5."/>
        <w:lvlJc w:val="left"/>
        <w:pPr>
          <w:tabs>
            <w:tab w:val="left" w:pos="360"/>
            <w:tab w:val="left" w:pos="709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6ED00">
        <w:start w:val="1"/>
        <w:numFmt w:val="upperRoman"/>
        <w:lvlText w:val="%6."/>
        <w:lvlJc w:val="left"/>
        <w:pPr>
          <w:tabs>
            <w:tab w:val="left" w:pos="360"/>
            <w:tab w:val="left" w:pos="709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208582">
        <w:start w:val="1"/>
        <w:numFmt w:val="upperRoman"/>
        <w:lvlText w:val="%7."/>
        <w:lvlJc w:val="left"/>
        <w:pPr>
          <w:tabs>
            <w:tab w:val="left" w:pos="360"/>
            <w:tab w:val="left" w:pos="709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54FB44">
        <w:start w:val="1"/>
        <w:numFmt w:val="upperRoman"/>
        <w:lvlText w:val="%8."/>
        <w:lvlJc w:val="left"/>
        <w:pPr>
          <w:tabs>
            <w:tab w:val="left" w:pos="360"/>
            <w:tab w:val="left" w:pos="709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427676">
        <w:start w:val="1"/>
        <w:numFmt w:val="upperRoman"/>
        <w:lvlText w:val="%9."/>
        <w:lvlJc w:val="left"/>
        <w:pPr>
          <w:tabs>
            <w:tab w:val="left" w:pos="360"/>
            <w:tab w:val="left" w:pos="709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D3"/>
    <w:rsid w:val="000729D3"/>
    <w:rsid w:val="005924EA"/>
    <w:rsid w:val="006C2B74"/>
    <w:rsid w:val="009355A6"/>
    <w:rsid w:val="00A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B049D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1400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2020-07-14T09:34:00Z</dcterms:created>
  <dcterms:modified xsi:type="dcterms:W3CDTF">2021-04-21T08:42:00Z</dcterms:modified>
</cp:coreProperties>
</file>