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6A" w:rsidRPr="00F72299" w:rsidRDefault="00DA2B80">
      <w:pPr>
        <w:rPr>
          <w:rStyle w:val="None"/>
          <w:rFonts w:ascii="Times New Roman" w:hAnsi="Times New Roman" w:cs="Times New Roman"/>
          <w:b/>
          <w:bCs/>
        </w:rPr>
      </w:pPr>
      <w:r w:rsidRPr="00F72299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0D576A" w:rsidRPr="00F72299" w:rsidRDefault="000D576A">
      <w:pPr>
        <w:rPr>
          <w:rFonts w:ascii="Times New Roman" w:hAnsi="Times New Roman" w:cs="Times New Roman"/>
          <w:b/>
          <w:bCs/>
        </w:rPr>
      </w:pPr>
    </w:p>
    <w:p w:rsidR="000D576A" w:rsidRPr="00F72299" w:rsidRDefault="00DA2B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72299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0D576A" w:rsidRPr="00F72299">
        <w:trPr>
          <w:trHeight w:val="8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2299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Praktyczna nauka języka angielskiego – tłumaczenia ustne angielsko-polskie, polsko-angielskie II</w:t>
            </w:r>
          </w:p>
        </w:tc>
      </w:tr>
      <w:tr w:rsidR="000D576A" w:rsidRPr="00CE29DE">
        <w:trPr>
          <w:trHeight w:val="526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  <w:lang w:val="en-US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Practical English – Interpreting between Polish and English II</w:t>
            </w:r>
          </w:p>
        </w:tc>
      </w:tr>
      <w:tr w:rsidR="000D576A" w:rsidRPr="00F72299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studi</w:t>
            </w:r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0D576A" w:rsidRPr="00F72299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studi</w:t>
            </w:r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0D576A" w:rsidRPr="00F72299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niestacjonarne</w:t>
            </w:r>
          </w:p>
        </w:tc>
      </w:tr>
      <w:tr w:rsidR="000D576A" w:rsidRPr="00F72299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0D576A" w:rsidRPr="00F72299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0D576A" w:rsidRPr="00F72299" w:rsidRDefault="000D576A" w:rsidP="00F7229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D576A" w:rsidRPr="00F72299" w:rsidRDefault="000D576A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0D576A" w:rsidRPr="00F72299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Mgr Joanna Mirek</w:t>
            </w:r>
          </w:p>
        </w:tc>
      </w:tr>
    </w:tbl>
    <w:p w:rsidR="000D576A" w:rsidRPr="00F72299" w:rsidRDefault="000D576A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0D576A" w:rsidRPr="00F72299" w:rsidRDefault="000D576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D576A" w:rsidRPr="00F72299" w:rsidRDefault="000D576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0D576A" w:rsidRPr="00F72299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F72299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299" w:rsidRDefault="00F7229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F72299" w:rsidRDefault="00F7229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F72299" w:rsidRDefault="00F7229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F72299" w:rsidRDefault="00F7229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F72299" w:rsidRDefault="00F7229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  <w:tr w:rsidR="000D576A" w:rsidRPr="00F72299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76A" w:rsidRPr="00F72299" w:rsidRDefault="000D576A">
            <w:pPr>
              <w:rPr>
                <w:rFonts w:ascii="Times New Roman" w:hAnsi="Times New Roman" w:cs="Times New Roman"/>
              </w:rPr>
            </w:pPr>
          </w:p>
        </w:tc>
      </w:tr>
    </w:tbl>
    <w:p w:rsidR="000D576A" w:rsidRPr="00F72299" w:rsidRDefault="000D576A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0D576A" w:rsidRPr="00F72299" w:rsidRDefault="000D576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D576A" w:rsidRPr="00F72299" w:rsidRDefault="000D576A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0D576A" w:rsidRPr="00F72299">
        <w:trPr>
          <w:trHeight w:val="167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Praktyczna znajomość języka angielskiego (B2+/C1)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Zaawansowana znajomość języka polskiego (C1)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Umiejętność tłumaczenia konsekutywnego 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Zaawansowane umiejętności wyszukiwania informacji </w:t>
            </w:r>
          </w:p>
        </w:tc>
      </w:tr>
    </w:tbl>
    <w:p w:rsidR="000D576A" w:rsidRPr="00F72299" w:rsidRDefault="000D576A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0D576A" w:rsidRPr="00F72299" w:rsidRDefault="000D576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D576A" w:rsidRPr="00F72299" w:rsidRDefault="00DA2B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F72299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D576A" w:rsidRPr="00F72299">
        <w:trPr>
          <w:trHeight w:val="3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C1 Nabycie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umiejętnoś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it-IT"/>
              </w:rPr>
              <w:t>ci t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łumaczenia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 symultanicznego </w:t>
            </w:r>
          </w:p>
        </w:tc>
      </w:tr>
      <w:tr w:rsidR="000D576A" w:rsidRPr="00F72299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C2 Nabycie umiejętności analizy oraz streszczenia w języku ojczystym i obcym</w:t>
            </w:r>
          </w:p>
        </w:tc>
      </w:tr>
      <w:tr w:rsidR="000D576A" w:rsidRPr="00F72299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C3 Umiejętność pracy w różnych zakresach tematycznych w języku ojczystym i obcym</w:t>
            </w:r>
          </w:p>
        </w:tc>
      </w:tr>
      <w:tr w:rsidR="000D576A" w:rsidRPr="00F72299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C4 Wyposażenie uczestnik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 narzędzia samoregulacji i dalszego samokształcenia do pracy tłumacza ustnego </w:t>
            </w:r>
          </w:p>
        </w:tc>
      </w:tr>
    </w:tbl>
    <w:p w:rsidR="000D576A" w:rsidRDefault="000D576A" w:rsidP="00F7229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F72299" w:rsidRDefault="00F72299" w:rsidP="00F7229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F72299" w:rsidRDefault="00F72299" w:rsidP="00F7229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F72299" w:rsidRDefault="00F72299" w:rsidP="00F7229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F72299" w:rsidRDefault="00F72299" w:rsidP="00F7229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F72299" w:rsidRDefault="00F72299" w:rsidP="00F7229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F72299" w:rsidRPr="00F72299" w:rsidRDefault="00F72299" w:rsidP="00F7229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D576A" w:rsidRPr="00F72299" w:rsidRDefault="000D576A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0D576A" w:rsidRPr="00F72299" w:rsidRDefault="000D576A">
      <w:pPr>
        <w:spacing w:after="0"/>
        <w:rPr>
          <w:rFonts w:ascii="Times New Roman" w:hAnsi="Times New Roman" w:cs="Times New Roman"/>
        </w:rPr>
      </w:pPr>
    </w:p>
    <w:p w:rsidR="000D576A" w:rsidRPr="00F72299" w:rsidRDefault="00DA2B80" w:rsidP="00F72299">
      <w:pPr>
        <w:pStyle w:val="Akapitzlist"/>
        <w:numPr>
          <w:ilvl w:val="0"/>
          <w:numId w:val="6"/>
        </w:numPr>
        <w:rPr>
          <w:rStyle w:val="None"/>
          <w:rFonts w:ascii="Times New Roman" w:hAnsi="Times New Roman" w:cs="Times New Roman"/>
          <w:b/>
          <w:bCs/>
        </w:rPr>
      </w:pPr>
      <w:r w:rsidRPr="00F72299">
        <w:rPr>
          <w:rFonts w:ascii="Times New Roman" w:hAnsi="Times New Roman" w:cs="Times New Roman"/>
          <w:b/>
          <w:bCs/>
        </w:rPr>
        <w:lastRenderedPageBreak/>
        <w:t>Efekty uczenia się dla przedmiotu wraz z odniesieniem do efekt</w:t>
      </w:r>
      <w:proofErr w:type="spellStart"/>
      <w:r w:rsidRPr="00F72299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F72299">
        <w:rPr>
          <w:rFonts w:ascii="Times New Roman" w:hAnsi="Times New Roman" w:cs="Times New Roman"/>
          <w:b/>
          <w:bCs/>
        </w:rPr>
        <w:t>w kierunkowyc</w:t>
      </w:r>
      <w:r w:rsidR="00F72299">
        <w:rPr>
          <w:rFonts w:ascii="Times New Roman" w:hAnsi="Times New Roman" w:cs="Times New Roman"/>
          <w:b/>
          <w:bCs/>
        </w:rPr>
        <w:t>h</w:t>
      </w:r>
      <w:r w:rsidRPr="00F72299">
        <w:rPr>
          <w:rStyle w:val="None"/>
          <w:rFonts w:ascii="Times New Roman" w:eastAsia="Arial Unicode MS" w:hAnsi="Times New Roman" w:cs="Times New Roman"/>
          <w:color w:val="FF2600"/>
          <w:u w:color="FF2600"/>
          <w:shd w:val="clear" w:color="auto" w:fill="FFFFFF"/>
        </w:rPr>
        <w:br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0D576A" w:rsidRPr="00F72299"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0D576A" w:rsidRPr="00F72299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0D576A" w:rsidRPr="00F72299">
        <w:trPr>
          <w:trHeight w:val="9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Student identyfikuje podstawowe mechanizmy funkcjonowania języka w odniesieniu do języka angielskiego i polskiego.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K_W15,K_W16</w:t>
            </w:r>
          </w:p>
        </w:tc>
      </w:tr>
      <w:tr w:rsidR="000D576A" w:rsidRPr="00F72299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Student rozpoznaje różne rejestry języka polskiego i angielskiego oraz sposoby precyzyjnego i poprawnego wyrażania się w tych językach.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K_W17,K_W18</w:t>
            </w:r>
          </w:p>
        </w:tc>
      </w:tr>
      <w:tr w:rsidR="000D576A" w:rsidRPr="00F72299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F7229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Student identyfikuje podstawowe mechanizmy i problemy translacji w parze językowej polski-angielski oraz sposoby przygotowania się do zlecenia tłumaczeniowego.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K_W19,K_W20</w:t>
            </w:r>
          </w:p>
        </w:tc>
      </w:tr>
      <w:tr w:rsidR="000D576A" w:rsidRPr="00F72299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F7229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0D576A" w:rsidRPr="00F72299">
        <w:trPr>
          <w:trHeight w:val="12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Student konstruuje wypowiedzi w języku polskim i angielskim w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spos</w:t>
            </w:r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b poprawny i precyzyjny (z dziedzin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og</w:t>
            </w:r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F72299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 i specjalistycznych) z wykorzystaniem odpowiednich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środk</w:t>
            </w:r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w językowych oraz rejestru językowego.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uppressAutoHyphens/>
              <w:spacing w:after="0" w:line="100" w:lineRule="atLeast"/>
              <w:rPr>
                <w:rStyle w:val="None"/>
                <w:rFonts w:ascii="Times New Roman" w:eastAsia="Georgia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K_U02,K_U03</w:t>
            </w:r>
          </w:p>
          <w:p w:rsidR="000D576A" w:rsidRPr="00F72299" w:rsidRDefault="00DA2B80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K_U04,K_U05</w:t>
            </w:r>
          </w:p>
        </w:tc>
      </w:tr>
      <w:tr w:rsidR="000D576A" w:rsidRPr="00F72299">
        <w:trPr>
          <w:trHeight w:val="12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Student dobiera właściwe techniki przekładu różnych rodzaj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w tekst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w i wystąpień ustnych (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og</w:t>
            </w:r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F72299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 i specjalistycznych) oraz metody niezbędne do przygotowania się do zlecenia w realnej sytuacji zawodowej.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uppressAutoHyphens/>
              <w:spacing w:after="0" w:line="100" w:lineRule="atLeast"/>
              <w:rPr>
                <w:rStyle w:val="None"/>
                <w:rFonts w:ascii="Times New Roman" w:eastAsia="Georgia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K_U06,K_U07</w:t>
            </w:r>
          </w:p>
          <w:p w:rsidR="000D576A" w:rsidRPr="00F72299" w:rsidRDefault="00DA2B80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K_U08,K_U09 </w:t>
            </w:r>
          </w:p>
        </w:tc>
      </w:tr>
      <w:tr w:rsidR="000D576A" w:rsidRPr="00F72299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Student samodzielnie organizuje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rozw</w:t>
            </w:r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j swoich kompetencji w zakresie tłumaczenia ustnego z wykorzystaniem różnych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źr</w:t>
            </w:r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F72299"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 oraz wskaz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wek nauczyciela.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K_U06,K_U07</w:t>
            </w:r>
          </w:p>
        </w:tc>
      </w:tr>
      <w:tr w:rsidR="000D576A" w:rsidRPr="00F72299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F7229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D576A" w:rsidRPr="00F72299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Student zachowuje krytycyzm wobec jakości własnego tłumaczenia, swoich umiejętności i wiedzy merytorycznej.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uppressAutoHyphens/>
              <w:spacing w:after="0" w:line="100" w:lineRule="atLeast"/>
              <w:rPr>
                <w:rStyle w:val="None"/>
                <w:rFonts w:ascii="Times New Roman" w:eastAsia="Georgia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K_K06,K_K07</w:t>
            </w:r>
          </w:p>
          <w:p w:rsidR="000D576A" w:rsidRPr="00F72299" w:rsidRDefault="00DA2B80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K_K08</w:t>
            </w:r>
          </w:p>
        </w:tc>
      </w:tr>
      <w:tr w:rsidR="000D576A" w:rsidRPr="00F72299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Student pracuje w zespole tłumaczeniowym w różnych rolach (tłumacz, m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F72299">
              <w:rPr>
                <w:rStyle w:val="None"/>
                <w:rFonts w:ascii="Times New Roman" w:hAnsi="Times New Roman" w:cs="Times New Roman"/>
              </w:rPr>
              <w:t>wca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, adresat tłumaczenia).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K_K04,K_K05, K_K08 </w:t>
            </w:r>
          </w:p>
        </w:tc>
      </w:tr>
    </w:tbl>
    <w:p w:rsidR="000D576A" w:rsidRDefault="000D576A" w:rsidP="00F72299">
      <w:pPr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  <w:lang w:val="es-ES_tradnl"/>
        </w:rPr>
      </w:pPr>
    </w:p>
    <w:p w:rsidR="00F72299" w:rsidRPr="00F72299" w:rsidRDefault="00F72299" w:rsidP="00F72299">
      <w:pPr>
        <w:rPr>
          <w:rStyle w:val="None"/>
          <w:rFonts w:ascii="Times New Roman" w:hAnsi="Times New Roman" w:cs="Times New Roman"/>
          <w:b/>
          <w:bCs/>
        </w:rPr>
      </w:pPr>
    </w:p>
    <w:p w:rsidR="000D576A" w:rsidRPr="00F72299" w:rsidRDefault="00DA2B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F72299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D576A" w:rsidRPr="00F72299">
        <w:trPr>
          <w:trHeight w:val="503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fr-FR"/>
              </w:rPr>
              <w:t xml:space="preserve">1.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fr-FR"/>
              </w:rPr>
              <w:t>Proces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fr-FR"/>
              </w:rPr>
              <w:t xml:space="preserve"> t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łumaczenia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 ustnego - co o nim wiemy? Czym jest tłumaczenie symultaniczne? Czym róż</w:t>
            </w:r>
            <w:r w:rsidRPr="00F72299">
              <w:rPr>
                <w:rStyle w:val="None"/>
                <w:rFonts w:ascii="Times New Roman" w:hAnsi="Times New Roman" w:cs="Times New Roman"/>
                <w:lang w:val="it-IT"/>
              </w:rPr>
              <w:t>ni si</w:t>
            </w:r>
            <w:r w:rsidRPr="00F72299">
              <w:rPr>
                <w:rStyle w:val="None"/>
                <w:rFonts w:ascii="Times New Roman" w:hAnsi="Times New Roman" w:cs="Times New Roman"/>
              </w:rPr>
              <w:t xml:space="preserve">ę od tłumaczenia konsekutywnego?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2. Zasoby poznawcze angażowane w proces tłumaczenia ustnego.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3. Wprawki - ćwiczenia wdrażające: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shadowing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code-switching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cloze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tasks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, dual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tasks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 itp.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4. Ćwiczenia praktyczne - etap I: materiały audio, zmiany kierunku tłumaczenia, obserwacja proces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w, auto-ewaluacja uczestnik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w (portfolio).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5. Ćwiczenia praktyczne - etap II: materiały AV, zmiany kierunku tłumaczenia, zaawansowana obserwacja proces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w (nagrywanie), auto-ewaluacja i praca własna (nagrywanie) uczestnik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6. Ćwiczenia praktyczne - etap III: materiały AV oraz symulowane wystąpienia konferencyjne, praktyki obserwacyjne, praca w parach, ewaluacja grupowa 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7. Imitowanie realnej sytuacji zawodowej: przygotowanie do określonego zagadnienia (praca z glosariuszem), przekazywanie sobie tłumaczenia w parze.</w:t>
            </w:r>
          </w:p>
        </w:tc>
      </w:tr>
    </w:tbl>
    <w:p w:rsidR="000D576A" w:rsidRPr="00F72299" w:rsidRDefault="000D576A">
      <w:pPr>
        <w:rPr>
          <w:rFonts w:ascii="Times New Roman" w:hAnsi="Times New Roman" w:cs="Times New Roman"/>
          <w:b/>
          <w:bCs/>
        </w:rPr>
      </w:pPr>
    </w:p>
    <w:p w:rsidR="000D576A" w:rsidRPr="00F72299" w:rsidRDefault="00DA2B8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F72299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F72299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F72299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D576A" w:rsidRPr="00F72299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0D576A" w:rsidRPr="00F72299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0D576A" w:rsidRPr="00F72299">
        <w:trPr>
          <w:trHeight w:val="10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Wykład konwersatoryjny,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Odpowiedź ustna w czasie zajęć, obserwacja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0D576A" w:rsidRPr="00F72299">
        <w:trPr>
          <w:trHeight w:val="10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Wykład konwersatoryjny,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0D576A" w:rsidRPr="00F72299">
        <w:trPr>
          <w:trHeight w:val="14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F7229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Wykład konwersatoryjny,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Dyskusja,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Case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Raport z obserwacji </w:t>
            </w:r>
          </w:p>
        </w:tc>
      </w:tr>
      <w:tr w:rsidR="000D576A" w:rsidRPr="00F72299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F7229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0D576A" w:rsidRPr="00F72299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0D576A" w:rsidRPr="00F72299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0D576A" w:rsidRPr="00F72299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F7229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Obserwacja, Sprawdzenie umiejętności praktycznych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0D576A" w:rsidRPr="00F72299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76A" w:rsidRPr="00F72299" w:rsidRDefault="00DA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F7229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D576A" w:rsidRPr="00F72299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0D576A" w:rsidRPr="00F72299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Ćwiczenia praktyczne, 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Obserwacja, Sprawdzenie umiejętności praktycznych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</w:tbl>
    <w:p w:rsidR="000D576A" w:rsidRPr="00F72299" w:rsidRDefault="000D576A" w:rsidP="00F72299">
      <w:pPr>
        <w:rPr>
          <w:rFonts w:ascii="Times New Roman" w:hAnsi="Times New Roman" w:cs="Times New Roman"/>
          <w:b/>
          <w:bCs/>
        </w:rPr>
      </w:pPr>
    </w:p>
    <w:p w:rsidR="000D576A" w:rsidRPr="00F72299" w:rsidRDefault="00DA2B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F72299">
        <w:rPr>
          <w:rFonts w:ascii="Times New Roman" w:hAnsi="Times New Roman" w:cs="Times New Roman"/>
          <w:b/>
          <w:bCs/>
        </w:rPr>
        <w:t>Kryteria oceny, wagi…</w:t>
      </w:r>
    </w:p>
    <w:p w:rsidR="00CE29DE" w:rsidRPr="00CE29DE" w:rsidRDefault="00CE29DE" w:rsidP="00CE29DE">
      <w:pPr>
        <w:pStyle w:val="v1msonormal"/>
        <w:jc w:val="both"/>
        <w:rPr>
          <w:color w:val="000000" w:themeColor="text1"/>
          <w:sz w:val="22"/>
          <w:szCs w:val="22"/>
        </w:rPr>
      </w:pPr>
      <w:r w:rsidRPr="00CE29DE">
        <w:rPr>
          <w:color w:val="000000" w:themeColor="text1"/>
          <w:sz w:val="22"/>
          <w:szCs w:val="22"/>
        </w:rPr>
        <w:t>Student podlega ewaluacji na bieżąco. Oceniana jest aktywność na zajęciach i przygotowanie do zajęć (przygotowanie ustne i tłumaczenie ustne newsów, przemówień na wybrane tematy, tłumaczenie nagranych wcześniej przemówień, przygotowanie glosariuszy), a także stopień zaawansowania i poprawności językowej, postęp w tłumaczeniu ustnym.</w:t>
      </w:r>
      <w:r w:rsidRPr="00CE29DE">
        <w:rPr>
          <w:rStyle w:val="apple-converted-space"/>
          <w:color w:val="000000" w:themeColor="text1"/>
          <w:sz w:val="22"/>
          <w:szCs w:val="22"/>
        </w:rPr>
        <w:t> </w:t>
      </w:r>
    </w:p>
    <w:p w:rsidR="00CE29DE" w:rsidRPr="00CE29DE" w:rsidRDefault="00CE29DE" w:rsidP="00CE29DE">
      <w:pPr>
        <w:pStyle w:val="v1msonormal"/>
        <w:jc w:val="both"/>
        <w:rPr>
          <w:color w:val="000000" w:themeColor="text1"/>
          <w:sz w:val="22"/>
          <w:szCs w:val="22"/>
        </w:rPr>
      </w:pPr>
      <w:r w:rsidRPr="00CE29DE">
        <w:rPr>
          <w:color w:val="000000" w:themeColor="text1"/>
          <w:sz w:val="22"/>
          <w:szCs w:val="22"/>
        </w:rPr>
        <w:t>Warunkiem zaliczenia jest kompletne wypełnienie i przesłanie portfolio tłumaczeniowego (mającego na celu auto-ewaluację postęp</w:t>
      </w:r>
      <w:proofErr w:type="spellStart"/>
      <w:r w:rsidRPr="00CE29DE">
        <w:rPr>
          <w:color w:val="000000" w:themeColor="text1"/>
          <w:sz w:val="22"/>
          <w:szCs w:val="22"/>
          <w:lang w:val="es-ES_tradnl"/>
        </w:rPr>
        <w:t>ó</w:t>
      </w:r>
      <w:proofErr w:type="spellEnd"/>
      <w:r w:rsidRPr="00CE29DE">
        <w:rPr>
          <w:color w:val="000000" w:themeColor="text1"/>
          <w:sz w:val="22"/>
          <w:szCs w:val="22"/>
        </w:rPr>
        <w:t>w studenta) według instrukcji prowadzącego, a także przesłanie nagrań tłumaczeń oraz glosariuszy.</w:t>
      </w:r>
      <w:r w:rsidRPr="00CE29DE">
        <w:rPr>
          <w:rStyle w:val="apple-converted-space"/>
          <w:color w:val="000000" w:themeColor="text1"/>
          <w:sz w:val="22"/>
          <w:szCs w:val="22"/>
        </w:rPr>
        <w:t> </w:t>
      </w:r>
    </w:p>
    <w:p w:rsidR="00CE29DE" w:rsidRPr="00CE29DE" w:rsidRDefault="00CE29DE" w:rsidP="00CE29DE">
      <w:pPr>
        <w:pStyle w:val="v1msonormal"/>
        <w:jc w:val="both"/>
        <w:rPr>
          <w:color w:val="000000" w:themeColor="text1"/>
          <w:sz w:val="22"/>
          <w:szCs w:val="22"/>
        </w:rPr>
      </w:pPr>
      <w:r w:rsidRPr="00CE29DE">
        <w:rPr>
          <w:color w:val="000000" w:themeColor="text1"/>
          <w:sz w:val="22"/>
          <w:szCs w:val="22"/>
        </w:rPr>
        <w:t>Dozwolona liczba nieobecności: 2. Warunki nadrobienia zaległości wynikających z przekroczenia ww. liczby nieobecności są każdorazowo indywidualnie uzgadniane z prowadzącym.</w:t>
      </w:r>
    </w:p>
    <w:p w:rsidR="000D576A" w:rsidRPr="00F72299" w:rsidRDefault="00DA2B80">
      <w:pPr>
        <w:rPr>
          <w:rStyle w:val="None"/>
          <w:rFonts w:ascii="Times New Roman" w:hAnsi="Times New Roman" w:cs="Times New Roman"/>
          <w:b/>
          <w:bCs/>
        </w:rPr>
      </w:pPr>
      <w:r w:rsidRPr="00F72299">
        <w:rPr>
          <w:rStyle w:val="None"/>
          <w:rFonts w:ascii="Times New Roman" w:hAnsi="Times New Roman" w:cs="Times New Roman"/>
          <w:b/>
          <w:bCs/>
        </w:rPr>
        <w:t>VII. 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0D576A" w:rsidRPr="00F72299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0D576A" w:rsidRPr="00F72299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</w:tr>
      <w:tr w:rsidR="000D576A" w:rsidRPr="00F72299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42</w:t>
            </w:r>
          </w:p>
        </w:tc>
      </w:tr>
    </w:tbl>
    <w:p w:rsidR="000D576A" w:rsidRPr="00F72299" w:rsidRDefault="000D576A">
      <w:pPr>
        <w:widowControl w:val="0"/>
        <w:spacing w:line="240" w:lineRule="auto"/>
        <w:ind w:left="108" w:hanging="108"/>
        <w:rPr>
          <w:rStyle w:val="None"/>
          <w:rFonts w:ascii="Times New Roman" w:hAnsi="Times New Roman" w:cs="Times New Roman"/>
          <w:b/>
          <w:bCs/>
        </w:rPr>
      </w:pPr>
    </w:p>
    <w:p w:rsidR="000D576A" w:rsidRPr="00F72299" w:rsidRDefault="000D576A">
      <w:pPr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0D576A" w:rsidRPr="00F72299" w:rsidRDefault="00DA2B8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F72299">
        <w:rPr>
          <w:rStyle w:val="None"/>
          <w:rFonts w:ascii="Times New Roman" w:hAnsi="Times New Roman" w:cs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D576A" w:rsidRPr="00F72299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0D576A" w:rsidRPr="00F72299">
        <w:trPr>
          <w:trHeight w:val="16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Giles, D. 2009. Basic Concepts and Models for Interpreter and Translator Training.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Gilles, Andrew. 2001. Conference Interpreting: A Student's Companion. Tertium: Kraków.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Jones, Roderick. 2002. Conference Interpreting Explained. Manchester: St. Jerome. 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Tryuk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, M. 2007. Przekład ustny konferencyjny. Warszawa : Wydawnictwo Naukowe PWN.</w:t>
            </w:r>
          </w:p>
        </w:tc>
      </w:tr>
      <w:tr w:rsidR="000D576A" w:rsidRPr="00F72299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299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0D576A" w:rsidRPr="00F72299">
        <w:trPr>
          <w:trHeight w:val="35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Gambier, Yves,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Gile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, Daniel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 Christopher Tylor. 1997. Conference Interpreting. Amsterdam: John Benjamins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Korzeniowska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, A. 2005. Successful Polish-English translation. Warszawa: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Wydaw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Naukowe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 PWN.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Seleskovitch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, Danica. 1989. Teaching Conference Interpreting. w: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Krawutschke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, Peter W. (red.) Translator and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Intepreter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 Training and Foreign Language Pedagogy. Amsterdam / Binghamton: John Benjamins / ATA. </w:t>
            </w:r>
          </w:p>
          <w:p w:rsidR="000D576A" w:rsidRPr="00F72299" w:rsidRDefault="00DA2B80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Setton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, Robin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Adrew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>Dawrant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  <w:lang w:val="en-US"/>
              </w:rPr>
              <w:t xml:space="preserve">. 2016. Conference Interpreting: A Complete Course. </w:t>
            </w:r>
            <w:r w:rsidRPr="00F72299">
              <w:rPr>
                <w:rStyle w:val="None"/>
                <w:rFonts w:ascii="Times New Roman" w:hAnsi="Times New Roman" w:cs="Times New Roman"/>
                <w:lang w:val="nl-NL"/>
              </w:rPr>
              <w:t xml:space="preserve">Amsterdam / Philadelphia: John Benjamins. </w:t>
            </w:r>
          </w:p>
          <w:p w:rsidR="000D576A" w:rsidRPr="00F72299" w:rsidRDefault="00DA2B80">
            <w:pPr>
              <w:rPr>
                <w:rFonts w:ascii="Times New Roman" w:hAnsi="Times New Roman" w:cs="Times New Roman"/>
              </w:rPr>
            </w:pPr>
            <w:proofErr w:type="spellStart"/>
            <w:r w:rsidRPr="00F72299">
              <w:rPr>
                <w:rStyle w:val="None"/>
                <w:rFonts w:ascii="Times New Roman" w:hAnsi="Times New Roman" w:cs="Times New Roman"/>
              </w:rPr>
              <w:t>Tryuk</w:t>
            </w:r>
            <w:proofErr w:type="spellEnd"/>
            <w:r w:rsidRPr="00F72299">
              <w:rPr>
                <w:rStyle w:val="None"/>
                <w:rFonts w:ascii="Times New Roman" w:hAnsi="Times New Roman" w:cs="Times New Roman"/>
              </w:rPr>
              <w:t>, M. 2006. Przekład ustny środowiskowy. Warszawa : Wydawnictwo Naukowe PWN.</w:t>
            </w:r>
          </w:p>
        </w:tc>
      </w:tr>
    </w:tbl>
    <w:p w:rsidR="000D576A" w:rsidRPr="00F72299" w:rsidRDefault="000D576A" w:rsidP="00F7229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D576A" w:rsidRPr="00F72299" w:rsidRDefault="000D576A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0D576A" w:rsidRPr="00F7229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14" w:rsidRDefault="00085014">
      <w:pPr>
        <w:spacing w:after="0" w:line="240" w:lineRule="auto"/>
      </w:pPr>
      <w:r>
        <w:separator/>
      </w:r>
    </w:p>
  </w:endnote>
  <w:endnote w:type="continuationSeparator" w:id="0">
    <w:p w:rsidR="00085014" w:rsidRDefault="0008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6A" w:rsidRDefault="000D57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14" w:rsidRDefault="00085014">
      <w:pPr>
        <w:spacing w:after="0" w:line="240" w:lineRule="auto"/>
      </w:pPr>
      <w:r>
        <w:separator/>
      </w:r>
    </w:p>
  </w:footnote>
  <w:footnote w:type="continuationSeparator" w:id="0">
    <w:p w:rsidR="00085014" w:rsidRDefault="0008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6A" w:rsidRDefault="00DA2B80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EC1"/>
    <w:multiLevelType w:val="hybridMultilevel"/>
    <w:tmpl w:val="FEAA7AE4"/>
    <w:numStyleLink w:val="ImportedStyle1"/>
  </w:abstractNum>
  <w:abstractNum w:abstractNumId="1" w15:restartNumberingAfterBreak="0">
    <w:nsid w:val="67EE69CC"/>
    <w:multiLevelType w:val="hybridMultilevel"/>
    <w:tmpl w:val="FEAA7AE4"/>
    <w:styleLink w:val="ImportedStyle1"/>
    <w:lvl w:ilvl="0" w:tplc="0FC8E6E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E8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EEB0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849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6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8084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069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F6254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864B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696996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4A039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4A993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2A559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9C8C96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8CD11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D2840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B2910C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9CCEEE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6A"/>
    <w:rsid w:val="00085014"/>
    <w:rsid w:val="000D576A"/>
    <w:rsid w:val="00CE29DE"/>
    <w:rsid w:val="00DA2B80"/>
    <w:rsid w:val="00F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50DA6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ny"/>
    <w:rsid w:val="00CE29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CE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1012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2020-07-14T09:35:00Z</dcterms:created>
  <dcterms:modified xsi:type="dcterms:W3CDTF">2021-04-21T08:09:00Z</dcterms:modified>
</cp:coreProperties>
</file>