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7C" w:rsidRDefault="00CC527C" w:rsidP="00CC527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TEZY DO EGZAMINU MAGISTERSKIEGO</w:t>
      </w:r>
    </w:p>
    <w:p w:rsidR="00CC527C" w:rsidRDefault="00CC527C" w:rsidP="00CC527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HISTORIA SZTUKI</w:t>
      </w:r>
    </w:p>
    <w:p w:rsidR="00CC527C" w:rsidRDefault="00CC527C" w:rsidP="00CC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527C" w:rsidRDefault="00CC527C" w:rsidP="00CC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Najstarsze przykłady twórczości artystycznej człowieka.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sakralna w starożytności - funkcje, formy, przykłady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sepulkralna w starożytności - funkcje, formy, przykłady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Ewolucja rzeźby greckiej - od archaicznej do hellenistycznej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Greckie sanktuaria panhelleńskie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greckie i rzymskie - charakterystyka i porównanie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Relief grecki i rzymski - charakterystyka i porównanie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rzymska - materiały, formy, funkcje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Miasta greckie i rzymskie - charakterystyka i porównanie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Klasycyzmy w sztuce starożytnej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Antyczne korzenie chrześcijańskiej ikonografii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Początki chrześcijańskiej architektury sakralnej</w:t>
      </w:r>
    </w:p>
    <w:p w:rsidR="00CC527C" w:rsidRDefault="00CC527C" w:rsidP="00CC527C">
      <w:pPr>
        <w:numPr>
          <w:ilvl w:val="0"/>
          <w:numId w:val="1"/>
        </w:numPr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Mozaika starożytna i wczesnochrześcijańska - charakterystyka i porównanie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Renesansowa architektura w Polsce.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Renesansowa rzeźba nagrobna w sztuce polskiej.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Barokowa architektura sakralna.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Barokowa architektura świecka.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Malarstwo w Polsce XVII-XVIII w.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Rzeźba w Polsce XVII-XVIII w.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Rzemiosło artystyczne XVI-XVIII w.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Humanizm a Odrodzenie.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Wpływ Giotta na renesansowe malarstwo włoskie.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Rozwój formy nagrobka renesansowego.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Porównanie architektury Brunelleschiego i Albertiego (sposób wykorzystania architektury antycznej).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Późnobarokowa architektura niemiecka.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Malarze weneccy XVI wieku.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Główne problemy malarstwa renesansowego.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Główne problemy malarstwa barokowego.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Postać ludzka w rzeźbie nowożytnej.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Sposoby zaskakiwania widza w sztuce manierystycznej.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Znaczenie martwej natury w malarstwie Flandrii i Holandii.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Pomniki konne w sztuce nowożytnej.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Artyści kaplicy sykstyńskiej.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Wenecka szkoła malarska.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Wpływ soboru trydenckiego na sztukę sakralną.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Architektura barokowego Rzymu.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Wpływ Palladia na architekturę Europy.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Różnice i podobieństwa w malarstwie Rubensa i Rembrandta.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Wielcy mistrzowie włoskiego renesansu.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Przebudowa bazyliki watykańskiej.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Mediolańskie realizacje Bramantego.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Twórcy francuskich rezydencji i </w:t>
      </w:r>
      <w:proofErr w:type="gramStart"/>
      <w:r>
        <w:rPr>
          <w:rFonts w:ascii="Times New Roman" w:eastAsia="Times New Roman" w:hAnsi="Times New Roman" w:cs="Times New Roman"/>
          <w:sz w:val="24"/>
        </w:rPr>
        <w:t>ogrodów .</w:t>
      </w:r>
      <w:proofErr w:type="gramEnd"/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Nowożytni malarze europejskich dworów.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Sztuka rzymska za czasów Urbana VIII.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Znaczenie grafiki Albrechta Dürera.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Wybitni portreciści w malarstwie nowożytnym.</w:t>
      </w:r>
    </w:p>
    <w:p w:rsidR="00CC527C" w:rsidRDefault="00CC527C" w:rsidP="00CC527C">
      <w:pPr>
        <w:numPr>
          <w:ilvl w:val="0"/>
          <w:numId w:val="1"/>
        </w:numPr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Obrazowanie treści Wyznania wiary – Credo – w sztuce chrześcijańskiej.</w:t>
      </w:r>
    </w:p>
    <w:p w:rsidR="00CC527C" w:rsidRDefault="00CC527C" w:rsidP="00CC527C">
      <w:pPr>
        <w:numPr>
          <w:ilvl w:val="0"/>
          <w:numId w:val="1"/>
        </w:numPr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Wybitni portreciści w malarstwie nowożytnym.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Natura i antyk w sztuce klasycyzmu.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Przemiany w europejskim malarstwie pejzażowym od 2 poł. XVIII do końca XIX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Recepcja średniowiecza w wieku XIX wieku (architektura i malarstwo).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Rewolucje malarskie w XIX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Motywy biblijne w malarstwie polskim i europejskim XIX i XX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Polskie artystki – rzeźbiarki w XX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Dzieła malarskie lub rzeźbiarskie wybranych artystów i grup artystycznych (ze zwróceniem uwagi na ikonografię i zagadnienia teoretyczno-estetyczne charakterystyczne dla danej epoki).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Portret w malarstwie europejskim od klasycyzmu do współczesności.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Pomniki w przestrzeni urbanistycznej miast – idea, forma, materiał.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Ojcowie architektury nowoczesnej – na wybranych przykładach.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Neoawangardowe nurty w sztuce polskiej i światowej po 1945 roku.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Rzeźba w „poszerzonym polu” – przekraczanie granic gatunkowych w rzeźbie XX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 Nowy Jork „ukradł ideę sztuki nowoczesnej”? – rola artystów amerykańskich w przemianach sztuki XX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Artyści i galerie Lublina na przełomie XX i XXI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Współczesne strategie kuratorskie – na wybranych przykładach.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Recepcja sztuki i architektury dawnej w XIX i XX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Najważniejsze nurty malarstwa XIX i XX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Rewolucja form i technologii w sztuce i architekturze XIX i XX wieku.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Romańska architektura katedralna X – poł. XII w. w Polsce na tle europejskim.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Klasyczny gotyk w Europie i w Polsce.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Odmiany  gotyku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późnego w Polsce i w Europie, funkcja sakralna i świecka.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Rzeźba wolno stojąca </w:t>
      </w:r>
      <w:proofErr w:type="gramStart"/>
      <w:r>
        <w:rPr>
          <w:rFonts w:ascii="Times New Roman" w:eastAsia="Times New Roman" w:hAnsi="Times New Roman" w:cs="Times New Roman"/>
          <w:sz w:val="24"/>
        </w:rPr>
        <w:t>-  tradycja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statui w Polsce i w Europie romańskiej, od X- XII wieku. Materiału, funkcja.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Gotycka rzeźba od schyłku XII wieku do końca </w:t>
      </w:r>
      <w:proofErr w:type="gramStart"/>
      <w:r>
        <w:rPr>
          <w:rFonts w:ascii="Times New Roman" w:eastAsia="Times New Roman" w:hAnsi="Times New Roman" w:cs="Times New Roman"/>
          <w:sz w:val="24"/>
        </w:rPr>
        <w:t>wieku  XIV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 Polsce i w Europie.  Rzeźba nagrobna i baldachimowa, pulpity.  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Tablicowe malarstwo Sieny od 2. poł. XII – do poł. XIV wieku.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Mistrzowie kręgu malarstwa czeskiego XIV wieku, ich oddziaływanie na malarstwo w Polsce.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Średniowieczne rzemiosło artystyczne: wyroby luksusowe z kości słoniowej i alabastru, tkactwo.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Średniowieczna sztuka w kręgu antropologii religijnej. Zagadnienie wyobrażania cierpienia i różnych stanów emocjonalnych na bazie tekstów biblijnych i dewocyjnych.  </w:t>
      </w:r>
    </w:p>
    <w:p w:rsidR="00CC527C" w:rsidRDefault="00CC527C" w:rsidP="00CC527C">
      <w:pPr>
        <w:numPr>
          <w:ilvl w:val="0"/>
          <w:numId w:val="1"/>
        </w:numPr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Malarstwo ikonowe w Europie. Rozkwit, upadek w czasach ikonoklazmu i ponowny renesans w XII – XV wieku. 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Ikony Prawosławia na terenach ziem polskich.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Koncepcja obrazowania Ikona – Imago, pomiędzy sztuką bizantyńską a łacińską.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Sztuka bizantyńska i prawosławna. Początki formowania się architektury, malarstwa i rzemiosła na terytorium cesarstwa bizantyńskiego w okresie rozkwitu sztuki architektonicznej i malarstwa w 2. poł. XII - do poł. XV wieku.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Technologia i technika w służbie metafizyki światła. Witraże: technika i estetyka w XII-XV wieku.  Barwy i światło w percepcji średniowiecznej.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Potrzeba unaocznienia przyrody w kontekście człowieka w </w:t>
      </w:r>
      <w:proofErr w:type="gramStart"/>
      <w:r>
        <w:rPr>
          <w:rFonts w:ascii="Times New Roman" w:eastAsia="Times New Roman" w:hAnsi="Times New Roman" w:cs="Times New Roman"/>
          <w:sz w:val="24"/>
        </w:rPr>
        <w:t>sztuce  średniowiecznej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Koncepcje </w:t>
      </w:r>
      <w:r>
        <w:rPr>
          <w:rFonts w:ascii="Times New Roman" w:eastAsia="Times New Roman" w:hAnsi="Times New Roman" w:cs="Times New Roman"/>
          <w:i/>
          <w:sz w:val="24"/>
        </w:rPr>
        <w:t xml:space="preserve">natura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naturata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– natura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naturans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Wyobrażenia  człowieka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‚poza czasem‘ i ‚człowieka w czasie‘.  Zagadnienia sztuki portretowej </w:t>
      </w:r>
      <w:proofErr w:type="gramStart"/>
      <w:r>
        <w:rPr>
          <w:rFonts w:ascii="Times New Roman" w:eastAsia="Times New Roman" w:hAnsi="Times New Roman" w:cs="Times New Roman"/>
          <w:sz w:val="24"/>
        </w:rPr>
        <w:t>osób  zmarłych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żyjących w sztuce średniowiecznej. 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Znaczenie w dziejach sztuki średniowiecznej tak zwanego „stylu </w:t>
      </w:r>
      <w:proofErr w:type="gramStart"/>
      <w:r>
        <w:rPr>
          <w:rFonts w:ascii="Times New Roman" w:eastAsia="Times New Roman" w:hAnsi="Times New Roman" w:cs="Times New Roman"/>
          <w:sz w:val="24"/>
        </w:rPr>
        <w:t>późnego“</w:t>
      </w:r>
      <w:proofErr w:type="gramEnd"/>
      <w:r>
        <w:rPr>
          <w:rFonts w:ascii="Times New Roman" w:eastAsia="Times New Roman" w:hAnsi="Times New Roman" w:cs="Times New Roman"/>
          <w:sz w:val="24"/>
        </w:rPr>
        <w:t>. Opis zjawiska i    metodologia badań.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Historia sztuki wśród nauk humanistycznych.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Giorgio Vasari jako ojciec historii sztuki – wpływ jego Żywotów na kształtowane się badań nad sztuką.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Narodziny świadomości historycznej, narodziny historii sztuki.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„Spór o Laokoona” i „spór o Holbeina” – historii sztuki na progu wiedzy akademickiej.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„Podstawowe pojęcia historii sztuki” </w:t>
      </w:r>
      <w:proofErr w:type="spellStart"/>
      <w:r>
        <w:rPr>
          <w:rFonts w:ascii="Times New Roman" w:eastAsia="Times New Roman" w:hAnsi="Times New Roman" w:cs="Times New Roman"/>
          <w:sz w:val="24"/>
        </w:rPr>
        <w:t>Adolpha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Wölfflina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założenia </w:t>
      </w:r>
      <w:proofErr w:type="spellStart"/>
      <w:r>
        <w:rPr>
          <w:rFonts w:ascii="Times New Roman" w:eastAsia="Times New Roman" w:hAnsi="Times New Roman" w:cs="Times New Roman"/>
          <w:sz w:val="24"/>
        </w:rPr>
        <w:t>epistemologicze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(teoria „form widzenia”) i charakterystyka 5 par pojęć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Pojęcie „woli twórczej” i problem rozwoju stylu w ujęciu Aloisa Riegla. 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Sztuka jako wyraz „ducha epoki” – koncepcja </w:t>
      </w:r>
      <w:proofErr w:type="spellStart"/>
      <w:r>
        <w:rPr>
          <w:rFonts w:ascii="Times New Roman" w:eastAsia="Times New Roman" w:hAnsi="Times New Roman" w:cs="Times New Roman"/>
          <w:sz w:val="24"/>
        </w:rPr>
        <w:t>Maxa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Dvořaka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Kunstgeschichte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Geistegeschichte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Historia sztuki jako „historyczna psychologia rodzaju ludzkiego”.  Aby </w:t>
      </w:r>
      <w:proofErr w:type="spellStart"/>
      <w:r>
        <w:rPr>
          <w:rFonts w:ascii="Times New Roman" w:eastAsia="Times New Roman" w:hAnsi="Times New Roman" w:cs="Times New Roman"/>
          <w:sz w:val="24"/>
        </w:rPr>
        <w:t>Warburg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jego koncepcja obrazu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Ikonografia i ikonologia w ujęciu Erwina </w:t>
      </w:r>
      <w:proofErr w:type="spellStart"/>
      <w:r>
        <w:rPr>
          <w:rFonts w:ascii="Times New Roman" w:eastAsia="Times New Roman" w:hAnsi="Times New Roman" w:cs="Times New Roman"/>
          <w:sz w:val="24"/>
        </w:rPr>
        <w:t>Panofsky’ego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trzy </w:t>
      </w:r>
      <w:proofErr w:type="gramStart"/>
      <w:r>
        <w:rPr>
          <w:rFonts w:ascii="Times New Roman" w:eastAsia="Times New Roman" w:hAnsi="Times New Roman" w:cs="Times New Roman"/>
          <w:sz w:val="24"/>
        </w:rPr>
        <w:t>poziomy interpretacji</w:t>
      </w:r>
      <w:proofErr w:type="gramEnd"/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Teoria </w:t>
      </w:r>
      <w:proofErr w:type="spellStart"/>
      <w:r>
        <w:rPr>
          <w:rFonts w:ascii="Times New Roman" w:eastAsia="Times New Roman" w:hAnsi="Times New Roman" w:cs="Times New Roman"/>
          <w:sz w:val="24"/>
        </w:rPr>
        <w:t>intertekstualności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intertekstualność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sztukach plastycznych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Znaczenie oraz dzieje podstawowych terminów (1): sztuka.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Znaczenie oraz dzieje podstawowych terminów (2): harmonia, symetria, kompozycja.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Znaczenie oraz dzieje podstawowych terminów (3): symbol, alegoria.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Znaczenie oraz dzieje podstawowych terminów (4): </w:t>
      </w:r>
      <w:proofErr w:type="gramStart"/>
      <w:r>
        <w:rPr>
          <w:rFonts w:ascii="Times New Roman" w:eastAsia="Times New Roman" w:hAnsi="Times New Roman" w:cs="Times New Roman"/>
          <w:sz w:val="24"/>
        </w:rPr>
        <w:t>mimesis .</w:t>
      </w:r>
      <w:proofErr w:type="gramEnd"/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Przemiany w rozumieniu koncepcji „piękna” – od modelu metafizycznego i obiektywnej wykładni po koncepcje </w:t>
      </w:r>
      <w:proofErr w:type="spellStart"/>
      <w:r>
        <w:rPr>
          <w:rFonts w:ascii="Times New Roman" w:eastAsia="Times New Roman" w:hAnsi="Times New Roman" w:cs="Times New Roman"/>
          <w:sz w:val="24"/>
        </w:rPr>
        <w:t>historystyczne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relatywistyczne.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Spory o obrazy (bizantyński ikonoklazm, skutki reformacji)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Najważniejsze koncepcje </w:t>
      </w:r>
      <w:proofErr w:type="spellStart"/>
      <w:r>
        <w:rPr>
          <w:rFonts w:ascii="Times New Roman" w:eastAsia="Times New Roman" w:hAnsi="Times New Roman" w:cs="Times New Roman"/>
          <w:sz w:val="24"/>
        </w:rPr>
        <w:t>paragone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sztuk oraz idee pokrewieństwa sztuk.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Teoria sztuki kościelnej po Soborze Trydenckim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Manierystyczna teoria sztuki w akademiach włoskich (Giovanni Paolo </w:t>
      </w:r>
      <w:proofErr w:type="spellStart"/>
      <w:r>
        <w:rPr>
          <w:rFonts w:ascii="Times New Roman" w:eastAsia="Times New Roman" w:hAnsi="Times New Roman" w:cs="Times New Roman"/>
          <w:sz w:val="24"/>
        </w:rPr>
        <w:t>Lomazzo</w:t>
      </w:r>
      <w:proofErr w:type="spellEnd"/>
      <w:r>
        <w:rPr>
          <w:rFonts w:ascii="Times New Roman" w:eastAsia="Times New Roman" w:hAnsi="Times New Roman" w:cs="Times New Roman"/>
          <w:sz w:val="24"/>
        </w:rPr>
        <w:t>, Federico Zuccaro)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Klasycystyczna reinterpretacja renesansowej teorii sztuki (Giovanni Pietro </w:t>
      </w:r>
      <w:proofErr w:type="spellStart"/>
      <w:r>
        <w:rPr>
          <w:rFonts w:ascii="Times New Roman" w:eastAsia="Times New Roman" w:hAnsi="Times New Roman" w:cs="Times New Roman"/>
          <w:sz w:val="24"/>
        </w:rPr>
        <w:t>Bellori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Reinterpretacja akademickiej doktryny artystycznej (starożytni – nowocześni)</w:t>
      </w:r>
    </w:p>
    <w:p w:rsidR="00CC527C" w:rsidRDefault="00CC527C" w:rsidP="00CC527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360" w:lineRule="auto"/>
        <w:ind w:left="642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Joshua Reynolds – ostatni nowożytny klasycysta</w:t>
      </w:r>
    </w:p>
    <w:p w:rsidR="008E6246" w:rsidRDefault="008E6246">
      <w:bookmarkStart w:id="0" w:name="_GoBack"/>
      <w:bookmarkEnd w:id="0"/>
    </w:p>
    <w:sectPr w:rsidR="008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4AF8"/>
    <w:multiLevelType w:val="multilevel"/>
    <w:tmpl w:val="A41EB7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7C"/>
    <w:rsid w:val="008E6246"/>
    <w:rsid w:val="00C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C5A46-2D98-48F7-B14D-0C92D2A8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27C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6004</Characters>
  <Application>Microsoft Office Word</Application>
  <DocSecurity>0</DocSecurity>
  <Lines>50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2018-10-05T16:07:00Z</dcterms:created>
  <dcterms:modified xsi:type="dcterms:W3CDTF">2018-10-05T16:07:00Z</dcterms:modified>
</cp:coreProperties>
</file>