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27C" w:rsidRDefault="00CC527C" w:rsidP="00CC527C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TEZY DO EGZAMINU MAGISTERSKIEGO</w:t>
      </w:r>
    </w:p>
    <w:p w:rsidR="00CC527C" w:rsidRDefault="00CC527C" w:rsidP="00CC527C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HISTORIA SZTUKI</w:t>
      </w:r>
    </w:p>
    <w:p w:rsidR="00CC527C" w:rsidRDefault="00CC527C" w:rsidP="00CC52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527C" w:rsidRDefault="00CC527C" w:rsidP="00CC52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Najstarsze przykłady twórczości artystycznej człowieka.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sakralna w starożytności - funkcje, formy, przykłady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sepulkralna w starożytności - funkcje, formy, przykłady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Ewolucja rzeźby greckiej - od archaicznej do hellenistycznej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Greckie sanktuaria panhelleńskie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greckie i rzymskie - charakterystyka i porównanie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Relief grecki i rzymski - charakterystyka i porównanie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rzymska - materiały, formy, funkcje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Miasta greckie i rzymskie - charakterystyka i porównanie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Klasycyzmy w sztuce starożytnej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Antyczne korzenie chrześcijańskiej ikonografii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Początki chrześcijańskiej architektury sakralnej</w:t>
      </w:r>
    </w:p>
    <w:p w:rsidR="00CC527C" w:rsidRDefault="00CC527C" w:rsidP="00CC527C">
      <w:pPr>
        <w:numPr>
          <w:ilvl w:val="0"/>
          <w:numId w:val="1"/>
        </w:numPr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Mozaika starożytna i wczesnochrześcijańska - charakterystyka i porównanie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Renesansowa architektura w Polsce.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Renesansowa rzeźba nagrobna w sztuce polskiej.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Barokowa architektura sakralna.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Barokowa architektura świecka.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Malarstwo w Polsce XVII-XVIII w.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Rzeźba w Polsce XVII-XVIII w.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Rzemiosło artystyczne XVI-XVIII w.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Humanizm a Odrodzenie.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Wpływ Giotta na renesansowe malarstwo włoskie.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Rozwój formy nagrobka renesansowego.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Porównanie architektury Brunelleschiego i Albertiego (sposób wykorzystania architektury antycznej).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Późnobarokowa architektura niemiecka.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Malarze weneccy XVI wieku.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Główne problemy malarstwa renesansowego.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Główne problemy malarstwa barokowego.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Postać ludzka w rzeźbie nowożytnej.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Sposoby zaskakiwania widza w sztuce manierystycznej.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Znaczenie martwej natury w malarstwie Flandrii i Holandii.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Pomniki konne w sztuce nowożytnej.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Artyści kaplicy sykstyńskiej.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Wenecka szkoła malarska.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Wpływ soboru trydenckiego na sztukę sakralną.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Architektura barokowego Rzymu.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Wpływ Palladia na architekturę Europy.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Różnice i podobieństwa w malarstwie Rubensa i Rembrandta.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Wielcy mistrzowie włoskiego renesansu.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Przebudowa bazyliki watykańskiej.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Mediolańskie realizacje Bramantego.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Twórcy francuskich rezydencji i </w:t>
      </w:r>
      <w:proofErr w:type="gramStart"/>
      <w:r>
        <w:rPr>
          <w:rFonts w:ascii="Times New Roman" w:eastAsia="Times New Roman" w:hAnsi="Times New Roman" w:cs="Times New Roman"/>
          <w:sz w:val="24"/>
        </w:rPr>
        <w:t>ogrodów .</w:t>
      </w:r>
      <w:proofErr w:type="gramEnd"/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Nowożytni malarze europejskich dworów.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Sztuka rzymska za czasów Urbana VIII.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Znaczenie grafiki Albrechta Dürera.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Wybitni portreciści w malarstwie nowożytnym.</w:t>
      </w:r>
    </w:p>
    <w:p w:rsidR="00CC527C" w:rsidRDefault="00CC527C" w:rsidP="00CC527C">
      <w:pPr>
        <w:numPr>
          <w:ilvl w:val="0"/>
          <w:numId w:val="1"/>
        </w:numPr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Obrazowanie treści Wyznania wiary – Credo – w sztuce chrześcijańskiej.</w:t>
      </w:r>
    </w:p>
    <w:p w:rsidR="00CC527C" w:rsidRDefault="00CC527C" w:rsidP="00CC527C">
      <w:pPr>
        <w:numPr>
          <w:ilvl w:val="0"/>
          <w:numId w:val="1"/>
        </w:numPr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Wybitni portreciści w malarstwie nowożytnym.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Natura i antyk w sztuce klasycyzmu.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Przemiany w europejskim malarstwie pejzażowym od 2 poł. XVIII do końca XIX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Recepcja średniowiecza w wieku XIX wieku (architektura i malarstwo).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Rewolucje malarskie w XIX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Motywy biblijne w malarstwie polskim i europejskim XIX i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Polskie artystki – rzeźbiarki w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Dzieła malarskie lub rzeźbiarskie wybranych artystów i grup artystycznych (ze zwróceniem uwagi na ikonografię i zagadnienia teoretyczno-estetyczne charakterystyczne dla danej epoki).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Portret w malarstwie europejskim od klasycyzmu do współczesności.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Pomniki w przestrzeni urbanistycznej miast – idea, forma, materiał.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Ojcowie architektury nowoczesnej – na wybranych przykładach.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Neoawangardowe nurty w sztuce polskiej i światowej po 1945 roku.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Rzeźba w „poszerzonym polu” – przekraczanie granic gatunkowych w rzeźbie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 Nowy Jork „ukradł ideę sztuki nowoczesnej”? – rola artystów amerykańskich w przemianach sztuki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Artyści i galerie Lublina na przełomie XX i XXI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Współczesne strategie kuratorskie – na wybranych przykładach.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Recepcja sztuki i architektury dawnej w XIX i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Najważniejsze nurty malarstwa XIX i XX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Rewolucja form i technologii w sztuce i architekturze XIX i XX wieku.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Romańska architektura katedralna X – poł. XII w. w Polsce na tle europejskim.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Klasyczny gotyk w Europie i w Polsce.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Odmiany  gotyku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późnego w Polsce i w Europie, funkcja sakralna i świecka.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Rzeźba wolno stojąca </w:t>
      </w:r>
      <w:proofErr w:type="gramStart"/>
      <w:r>
        <w:rPr>
          <w:rFonts w:ascii="Times New Roman" w:eastAsia="Times New Roman" w:hAnsi="Times New Roman" w:cs="Times New Roman"/>
          <w:sz w:val="24"/>
        </w:rPr>
        <w:t>-  tradycja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statui w Polsce i w Europie romańskiej, od X- XII wieku. Materiału, funkcja.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Gotycka rzeźba od schyłku XII wieku do końca </w:t>
      </w:r>
      <w:proofErr w:type="gramStart"/>
      <w:r>
        <w:rPr>
          <w:rFonts w:ascii="Times New Roman" w:eastAsia="Times New Roman" w:hAnsi="Times New Roman" w:cs="Times New Roman"/>
          <w:sz w:val="24"/>
        </w:rPr>
        <w:t>wieku  XIV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w Polsce i w Europie.  Rzeźba nagrobna i baldachimowa, pulpity.  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Tablicowe malarstwo Sieny od 2. poł. XII – do poł. XIV wieku.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Mistrzowie kręgu malarstwa czeskiego XIV wieku, ich oddziaływanie na malarstwo w Polsce.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Średniowieczne rzemiosło artystyczne: wyroby luksusowe z kości słoniowej i alabastru, tkactwo.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Średniowieczna sztuka w kręgu antropologii religijnej. Zagadnienie wyobrażania cierpienia i różnych stanów emocjonalnych na bazie tekstów biblijnych i dewocyjnych.  </w:t>
      </w:r>
    </w:p>
    <w:p w:rsidR="00CC527C" w:rsidRDefault="00CC527C" w:rsidP="00CC527C">
      <w:pPr>
        <w:numPr>
          <w:ilvl w:val="0"/>
          <w:numId w:val="1"/>
        </w:numPr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Malarstwo ikonowe w Europie. Rozkwit, upadek w czasach ikonoklazmu i ponowny renesans w XII – XV wieku. 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Ikony Prawosławia na terenach ziem polskich.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Koncepcja obrazowania Ikona – Imago, pomiędzy sztuką bizantyńską a łacińską.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Sztuka bizantyńska i prawosławna. Początki formowania się architektury, malarstwa i rzemiosła na terytorium cesarstwa bizantyńskiego w okresie rozkwitu sztuki architektonicznej i malarstwa w 2. poł. XII - do poł. XV wieku.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Technologia i technika w służbie metafizyki światła. Witraże: technika i estetyka w XII-XV wieku.  Barwy i światło w percepcji średniowiecznej.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Potrzeba unaocznienia przyrody w kontekście człowieka w </w:t>
      </w:r>
      <w:proofErr w:type="gramStart"/>
      <w:r>
        <w:rPr>
          <w:rFonts w:ascii="Times New Roman" w:eastAsia="Times New Roman" w:hAnsi="Times New Roman" w:cs="Times New Roman"/>
          <w:sz w:val="24"/>
        </w:rPr>
        <w:t>sztuce  średniowiecznej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Koncepcje </w:t>
      </w:r>
      <w:r>
        <w:rPr>
          <w:rFonts w:ascii="Times New Roman" w:eastAsia="Times New Roman" w:hAnsi="Times New Roman" w:cs="Times New Roman"/>
          <w:i/>
          <w:sz w:val="24"/>
        </w:rPr>
        <w:t xml:space="preserve">natura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naturata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– natura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naturans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  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Wyobrażenia  człowieka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‚poza czasem‘ i ‚człowieka w czasie‘.  Zagadnienia sztuki portretowej </w:t>
      </w:r>
      <w:proofErr w:type="gramStart"/>
      <w:r>
        <w:rPr>
          <w:rFonts w:ascii="Times New Roman" w:eastAsia="Times New Roman" w:hAnsi="Times New Roman" w:cs="Times New Roman"/>
          <w:sz w:val="24"/>
        </w:rPr>
        <w:t>osób  zmarłych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i żyjących w sztuce średniowiecznej. 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Znaczenie w dziejach sztuki średniowiecznej tak zwanego „stylu </w:t>
      </w:r>
      <w:proofErr w:type="gramStart"/>
      <w:r>
        <w:rPr>
          <w:rFonts w:ascii="Times New Roman" w:eastAsia="Times New Roman" w:hAnsi="Times New Roman" w:cs="Times New Roman"/>
          <w:sz w:val="24"/>
        </w:rPr>
        <w:t>późnego“</w:t>
      </w:r>
      <w:proofErr w:type="gramEnd"/>
      <w:r>
        <w:rPr>
          <w:rFonts w:ascii="Times New Roman" w:eastAsia="Times New Roman" w:hAnsi="Times New Roman" w:cs="Times New Roman"/>
          <w:sz w:val="24"/>
        </w:rPr>
        <w:t>. Opis zjawiska i    metodologia badań.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Historia sztuki wśród nauk humanistycznych.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Giorgio Vasari jako ojciec historii sztuki – wpływ jego Żywotów na kształtowane się badań nad sztuką.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Narodziny świadomości historycznej, narodziny historii sztuki.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„Spór o Laokoona” i „spór o Holbeina” – historii sztuki na progu wiedzy akademickiej.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„Podstawowe pojęcia historii sztuki” </w:t>
      </w:r>
      <w:proofErr w:type="spellStart"/>
      <w:r>
        <w:rPr>
          <w:rFonts w:ascii="Times New Roman" w:eastAsia="Times New Roman" w:hAnsi="Times New Roman" w:cs="Times New Roman"/>
          <w:sz w:val="24"/>
        </w:rPr>
        <w:t>Adolpha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Wölfflina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założenia </w:t>
      </w:r>
      <w:proofErr w:type="spellStart"/>
      <w:r>
        <w:rPr>
          <w:rFonts w:ascii="Times New Roman" w:eastAsia="Times New Roman" w:hAnsi="Times New Roman" w:cs="Times New Roman"/>
          <w:sz w:val="24"/>
        </w:rPr>
        <w:t>epistemologicze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(teoria „form widzenia”) i charakterystyka 5 par pojęć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Pojęcie „woli twórczej” i problem rozwoju stylu w ujęciu Aloisa Riegla. 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Sztuka jako wyraz „ducha epoki” – koncepcja </w:t>
      </w:r>
      <w:proofErr w:type="spellStart"/>
      <w:r>
        <w:rPr>
          <w:rFonts w:ascii="Times New Roman" w:eastAsia="Times New Roman" w:hAnsi="Times New Roman" w:cs="Times New Roman"/>
          <w:sz w:val="24"/>
        </w:rPr>
        <w:t>Maxa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Dvořaka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Kunstgeschichte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Geistegeschichte</w:t>
      </w:r>
      <w:proofErr w:type="spellEnd"/>
      <w:r>
        <w:rPr>
          <w:rFonts w:ascii="Times New Roman" w:eastAsia="Times New Roman" w:hAnsi="Times New Roman" w:cs="Times New Roman"/>
          <w:sz w:val="24"/>
        </w:rPr>
        <w:t>).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Historia sztuki jako „historyczna psychologia rodzaju ludzkiego”.  Aby </w:t>
      </w:r>
      <w:proofErr w:type="spellStart"/>
      <w:r>
        <w:rPr>
          <w:rFonts w:ascii="Times New Roman" w:eastAsia="Times New Roman" w:hAnsi="Times New Roman" w:cs="Times New Roman"/>
          <w:sz w:val="24"/>
        </w:rPr>
        <w:t>Warburg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jego koncepcja obrazu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3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Ikonografia i ikonologia w ujęciu Erwina </w:t>
      </w:r>
      <w:proofErr w:type="spellStart"/>
      <w:r>
        <w:rPr>
          <w:rFonts w:ascii="Times New Roman" w:eastAsia="Times New Roman" w:hAnsi="Times New Roman" w:cs="Times New Roman"/>
          <w:sz w:val="24"/>
        </w:rPr>
        <w:t>Panofsky’ego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trzy </w:t>
      </w:r>
      <w:proofErr w:type="gramStart"/>
      <w:r>
        <w:rPr>
          <w:rFonts w:ascii="Times New Roman" w:eastAsia="Times New Roman" w:hAnsi="Times New Roman" w:cs="Times New Roman"/>
          <w:sz w:val="24"/>
        </w:rPr>
        <w:t>poziomy interpretacji</w:t>
      </w:r>
      <w:proofErr w:type="gramEnd"/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Teoria </w:t>
      </w:r>
      <w:proofErr w:type="spellStart"/>
      <w:r>
        <w:rPr>
          <w:rFonts w:ascii="Times New Roman" w:eastAsia="Times New Roman" w:hAnsi="Times New Roman" w:cs="Times New Roman"/>
          <w:sz w:val="24"/>
        </w:rPr>
        <w:t>intertekstualności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</w:rPr>
        <w:t>intertekstualność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 sztukach plastycznych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Znaczenie oraz dzieje podstawowych terminów (1): sztuka.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Znaczenie oraz dzieje podstawowych terminów (2): harmonia, symetria, kompozycja.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Znaczenie oraz dzieje podstawowych terminów (3): symbol, alegoria.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Znaczenie oraz dzieje podstawowych terminów (4): </w:t>
      </w:r>
      <w:proofErr w:type="gramStart"/>
      <w:r>
        <w:rPr>
          <w:rFonts w:ascii="Times New Roman" w:eastAsia="Times New Roman" w:hAnsi="Times New Roman" w:cs="Times New Roman"/>
          <w:sz w:val="24"/>
        </w:rPr>
        <w:t>mimesis .</w:t>
      </w:r>
      <w:proofErr w:type="gramEnd"/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Przemiany w rozumieniu koncepcji „piękna” – od modelu metafizycznego i obiektywnej wykładni po koncepcje </w:t>
      </w:r>
      <w:proofErr w:type="spellStart"/>
      <w:r>
        <w:rPr>
          <w:rFonts w:ascii="Times New Roman" w:eastAsia="Times New Roman" w:hAnsi="Times New Roman" w:cs="Times New Roman"/>
          <w:sz w:val="24"/>
        </w:rPr>
        <w:t>historystyczne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relatywistyczne.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Spory o obrazy (bizantyński ikonoklazm, skutki reformacji)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uppressAutoHyphens/>
        <w:spacing w:after="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Najważniejsze koncepcje </w:t>
      </w:r>
      <w:proofErr w:type="spellStart"/>
      <w:r>
        <w:rPr>
          <w:rFonts w:ascii="Times New Roman" w:eastAsia="Times New Roman" w:hAnsi="Times New Roman" w:cs="Times New Roman"/>
          <w:sz w:val="24"/>
        </w:rPr>
        <w:t>paragone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sztuk oraz idee pokrewieństwa sztuk.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Teoria sztuki kościelnej po Soborze Trydenckim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Manierystyczna teoria sztuki w akademiach włoskich (Giovanni Paolo </w:t>
      </w:r>
      <w:proofErr w:type="spellStart"/>
      <w:r>
        <w:rPr>
          <w:rFonts w:ascii="Times New Roman" w:eastAsia="Times New Roman" w:hAnsi="Times New Roman" w:cs="Times New Roman"/>
          <w:sz w:val="24"/>
        </w:rPr>
        <w:t>Lomazzo</w:t>
      </w:r>
      <w:proofErr w:type="spellEnd"/>
      <w:r>
        <w:rPr>
          <w:rFonts w:ascii="Times New Roman" w:eastAsia="Times New Roman" w:hAnsi="Times New Roman" w:cs="Times New Roman"/>
          <w:sz w:val="24"/>
        </w:rPr>
        <w:t>, Federico Zuccaro)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Klasycystyczna reinterpretacja renesansowej teorii sztuki (Giovanni Pietro </w:t>
      </w:r>
      <w:proofErr w:type="spellStart"/>
      <w:r>
        <w:rPr>
          <w:rFonts w:ascii="Times New Roman" w:eastAsia="Times New Roman" w:hAnsi="Times New Roman" w:cs="Times New Roman"/>
          <w:sz w:val="24"/>
        </w:rPr>
        <w:t>Bellori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Reinterpretacja akademickiej doktryny artystycznej (starożytni – nowocześni)</w:t>
      </w:r>
    </w:p>
    <w:p w:rsidR="00CC527C" w:rsidRDefault="00CC527C" w:rsidP="00CC527C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200" w:line="360" w:lineRule="auto"/>
        <w:ind w:left="642" w:hanging="3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Joshua Reynolds – ostatni nowożytny klasycysta</w:t>
      </w:r>
    </w:p>
    <w:p w:rsidR="008E6246" w:rsidRDefault="008E6246">
      <w:bookmarkStart w:id="0" w:name="_GoBack"/>
      <w:bookmarkEnd w:id="0"/>
    </w:p>
    <w:sectPr w:rsidR="008E6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C4AF8"/>
    <w:multiLevelType w:val="multilevel"/>
    <w:tmpl w:val="A41EB74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7C"/>
    <w:rsid w:val="008E6246"/>
    <w:rsid w:val="00C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C5A46-2D98-48F7-B14D-0C92D2A8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27C"/>
    <w:pPr>
      <w:spacing w:after="160" w:line="259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6004</Characters>
  <Application>Microsoft Office Word</Application>
  <DocSecurity>0</DocSecurity>
  <Lines>50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</cp:revision>
  <dcterms:created xsi:type="dcterms:W3CDTF">2018-10-05T16:07:00Z</dcterms:created>
  <dcterms:modified xsi:type="dcterms:W3CDTF">2018-10-05T16:07:00Z</dcterms:modified>
</cp:coreProperties>
</file>