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77777777" w:rsidR="00F02EDE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43413B4B">
        <w:rPr>
          <w:rFonts w:ascii="Calibri" w:eastAsia="Calibri" w:hAnsi="Calibri" w:cs="Calibri"/>
          <w:b/>
          <w:bCs/>
        </w:rPr>
        <w:t xml:space="preserve">KARTA PRZEDMIOTU </w:t>
      </w:r>
    </w:p>
    <w:p w14:paraId="57EC3F97" w14:textId="77777777" w:rsidR="00F02EDE" w:rsidRDefault="43413B4B" w:rsidP="43413B4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Dane podstawowe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F02EDE" w14:paraId="5EF39A6D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5970156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59DCEF7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Marketing międzynarodowy</w:t>
            </w:r>
          </w:p>
        </w:tc>
      </w:tr>
      <w:tr w:rsidR="00F02EDE" w14:paraId="374CB1EE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76DD01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129CA70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International Marketing</w:t>
            </w:r>
          </w:p>
        </w:tc>
      </w:tr>
      <w:tr w:rsidR="00F02EDE" w14:paraId="5CCCEBA5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2C83C578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F75528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Zarządzanie</w:t>
            </w:r>
          </w:p>
        </w:tc>
      </w:tr>
      <w:tr w:rsidR="00F02EDE" w14:paraId="0AD9D50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0CF80D9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0806588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II stopień</w:t>
            </w:r>
          </w:p>
        </w:tc>
      </w:tr>
      <w:tr w:rsidR="00F02EDE" w14:paraId="25B8B21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43EF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4440E62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stacjonarne</w:t>
            </w:r>
            <w:proofErr w:type="gramEnd"/>
          </w:p>
        </w:tc>
      </w:tr>
      <w:tr w:rsidR="00F02EDE" w14:paraId="485EBC68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FF4ED1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480A41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nauki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o zarządzaniu i jakości (100%)</w:t>
            </w:r>
          </w:p>
        </w:tc>
      </w:tr>
      <w:tr w:rsidR="00F02EDE" w14:paraId="3AC059BC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3A990D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2AC30DC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język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polski</w:t>
            </w:r>
          </w:p>
        </w:tc>
      </w:tr>
    </w:tbl>
    <w:p w14:paraId="0A37501D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F02EDE" w14:paraId="45E6B555" w14:textId="77777777" w:rsidTr="008C13D9">
        <w:trPr>
          <w:trHeight w:val="1"/>
        </w:trPr>
        <w:tc>
          <w:tcPr>
            <w:tcW w:w="4542" w:type="dxa"/>
            <w:shd w:val="clear" w:color="auto" w:fill="FFFFFF"/>
            <w:tcMar>
              <w:left w:w="108" w:type="dxa"/>
              <w:right w:w="108" w:type="dxa"/>
            </w:tcMar>
          </w:tcPr>
          <w:p w14:paraId="42EF1AB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0" w:type="dxa"/>
            <w:shd w:val="clear" w:color="auto" w:fill="FFFFFF"/>
            <w:tcMar>
              <w:left w:w="108" w:type="dxa"/>
              <w:right w:w="108" w:type="dxa"/>
            </w:tcMar>
          </w:tcPr>
          <w:p w14:paraId="4C9BB2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dr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hab. Grzegorz Zasuwa</w:t>
            </w:r>
          </w:p>
        </w:tc>
      </w:tr>
    </w:tbl>
    <w:p w14:paraId="5DAB6C7B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02EDE" w14:paraId="40BF72ED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210DDEC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zajęć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C32A60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1862DD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semestr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3ECF9AF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Punkty ECTS</w:t>
            </w:r>
          </w:p>
        </w:tc>
      </w:tr>
      <w:tr w:rsidR="00527F70" w14:paraId="7EA19C3C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9CCF9E1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3CFEC6B" w14:textId="684A1A83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13FABD8D" w14:textId="7DE809E6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18F999B5" w14:textId="77777777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2</w:t>
            </w:r>
          </w:p>
        </w:tc>
      </w:tr>
      <w:tr w:rsidR="00527F70" w14:paraId="3F1C56C9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569C77CD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2EB378F" w14:textId="4CA61ADC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A05A809" w14:textId="416B4E42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A39BBE3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7F626B56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4C64560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1C8F396" w14:textId="77777777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527F70" w:rsidRDefault="00527F70" w:rsidP="00527F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0D0B940D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71E8B11E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76A2162A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4EAFD9C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6CF964B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E7AD2FA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B94D5A5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DEEC669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656B9AB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57F876B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72117DC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49F31CB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3128261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05151DAF" w14:textId="77777777" w:rsidTr="008C13D9"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5028667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101652C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B99056E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054DCFD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7E45EAB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299C43A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461D779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1E8DC59B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6CA1A1B6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CF2D8B6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1FC39945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14330E8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8D6F0D7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zajęcia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2EBF3C5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659EACB0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642EF08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pracownia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2946DB82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997CC1D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46AEF28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B057EE8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43413B4B"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FE9F23F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27F70" w14:paraId="4C824B0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684F9ED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wizyta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8CE6F91" w14:textId="77777777" w:rsidR="00527F70" w:rsidRDefault="00527F70" w:rsidP="00527F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1CDCEAD" w14:textId="77777777" w:rsidR="00527F70" w:rsidRDefault="00527F70" w:rsidP="00527F7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B9E25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F02EDE" w14:paraId="77594C0A" w14:textId="77777777" w:rsidTr="008C13D9">
        <w:trPr>
          <w:trHeight w:val="1"/>
        </w:trPr>
        <w:tc>
          <w:tcPr>
            <w:tcW w:w="2215" w:type="dxa"/>
            <w:shd w:val="clear" w:color="auto" w:fill="FFFFFF"/>
            <w:tcMar>
              <w:left w:w="108" w:type="dxa"/>
              <w:right w:w="108" w:type="dxa"/>
            </w:tcMar>
          </w:tcPr>
          <w:p w14:paraId="6191DBA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7" w:type="dxa"/>
            <w:shd w:val="clear" w:color="auto" w:fill="FFFFFF"/>
            <w:tcMar>
              <w:left w:w="108" w:type="dxa"/>
              <w:right w:w="108" w:type="dxa"/>
            </w:tcMar>
          </w:tcPr>
          <w:p w14:paraId="6E76E009" w14:textId="77777777" w:rsidR="00F02EDE" w:rsidRDefault="504B051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Znajomość podstaw marketingu</w:t>
            </w:r>
          </w:p>
        </w:tc>
      </w:tr>
    </w:tbl>
    <w:p w14:paraId="52E5622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0020451A" w14:textId="77777777" w:rsidR="00F02EDE" w:rsidRDefault="43413B4B" w:rsidP="43413B4B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73415343" w14:textId="77777777" w:rsidTr="008C13D9">
        <w:trPr>
          <w:trHeight w:val="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C95" w14:textId="06B8326A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Zapoznanie studentów z </w:t>
            </w:r>
            <w:r w:rsidR="0063297B">
              <w:rPr>
                <w:rFonts w:ascii="Calibri" w:eastAsia="Calibri" w:hAnsi="Calibri" w:cs="Calibri"/>
              </w:rPr>
              <w:t xml:space="preserve">wybranymi zagadnieniami </w:t>
            </w:r>
            <w:r w:rsidRPr="43413B4B">
              <w:rPr>
                <w:rFonts w:ascii="Calibri" w:eastAsia="Calibri" w:hAnsi="Calibri" w:cs="Calibri"/>
              </w:rPr>
              <w:t>marketingu międzynarodowego</w:t>
            </w:r>
            <w:r w:rsidR="0063297B">
              <w:rPr>
                <w:rFonts w:ascii="Calibri" w:eastAsia="Calibri" w:hAnsi="Calibri" w:cs="Calibri"/>
              </w:rPr>
              <w:t xml:space="preserve"> oraz wykształceni</w:t>
            </w:r>
            <w:r w:rsidR="00074747">
              <w:rPr>
                <w:rFonts w:ascii="Calibri" w:eastAsia="Calibri" w:hAnsi="Calibri" w:cs="Calibri"/>
              </w:rPr>
              <w:t>e</w:t>
            </w:r>
            <w:r w:rsidR="0063297B">
              <w:rPr>
                <w:rFonts w:ascii="Calibri" w:eastAsia="Calibri" w:hAnsi="Calibri" w:cs="Calibri"/>
              </w:rPr>
              <w:t xml:space="preserve"> podstawowych umiejętności analizy w tym zakresie.</w:t>
            </w:r>
          </w:p>
        </w:tc>
      </w:tr>
    </w:tbl>
    <w:p w14:paraId="07547A01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2E14E842" w14:textId="7E7C77EA" w:rsidR="00F02EDE" w:rsidRPr="008C13D9" w:rsidRDefault="43413B4B" w:rsidP="008C13D9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8C13D9">
        <w:rPr>
          <w:rFonts w:ascii="Calibri" w:eastAsia="Calibri" w:hAnsi="Calibri" w:cs="Calibri"/>
          <w:b/>
          <w:bCs/>
        </w:rPr>
        <w:t>Efekty uczenia się dla przedmiotu wraz z odniesieniem do efektów kierunkowych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F02EDE" w14:paraId="67DB3E99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8E664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ED0BF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368F3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F02EDE" w14:paraId="631EAA1C" w14:textId="77777777" w:rsidTr="008C13D9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F67003A" w14:textId="5D8073D3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WIEDZA</w:t>
            </w:r>
          </w:p>
        </w:tc>
      </w:tr>
      <w:tr w:rsidR="00F02EDE" w14:paraId="314E04ED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6942DD37" w14:textId="1228C493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83293058"/>
            <w:r w:rsidRPr="43413B4B">
              <w:rPr>
                <w:rFonts w:ascii="Calibri" w:eastAsia="Calibri" w:hAnsi="Calibri" w:cs="Calibri"/>
              </w:rPr>
              <w:t>W_0</w:t>
            </w:r>
            <w:r w:rsidR="0061113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73F1846B" w14:textId="563C2D38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</w:t>
            </w:r>
            <w:r w:rsidR="43413B4B" w:rsidRPr="43413B4B">
              <w:rPr>
                <w:rFonts w:ascii="Calibri" w:eastAsia="Calibri" w:hAnsi="Calibri" w:cs="Calibri"/>
              </w:rPr>
              <w:t>posiada wiedzę na temat marketingu międzynarodowego</w:t>
            </w:r>
            <w:r w:rsidR="00422070">
              <w:rPr>
                <w:rFonts w:ascii="Calibri" w:eastAsia="Calibri" w:hAnsi="Calibri" w:cs="Calibri"/>
              </w:rPr>
              <w:t xml:space="preserve"> oraz </w:t>
            </w:r>
            <w:r w:rsidR="000400FB">
              <w:rPr>
                <w:rFonts w:ascii="Calibri" w:eastAsia="Calibri" w:hAnsi="Calibri" w:cs="Calibri"/>
              </w:rPr>
              <w:t>sposobów</w:t>
            </w:r>
            <w:r w:rsidR="00422070">
              <w:rPr>
                <w:rFonts w:ascii="Calibri" w:eastAsia="Calibri" w:hAnsi="Calibri" w:cs="Calibri"/>
              </w:rPr>
              <w:t xml:space="preserve"> rozwiązywania problemów w jego zakresie, uwzględniając dorobek powiązanych obszarów wiedzy</w:t>
            </w:r>
            <w:r w:rsidR="000747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3FB25131" w14:textId="5C7A1D62" w:rsidR="00F02EDE" w:rsidRDefault="00422070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K_W02, K_W03, K_W04, , K_W06</w:t>
            </w:r>
          </w:p>
        </w:tc>
      </w:tr>
      <w:tr w:rsidR="0049632B" w14:paraId="55972599" w14:textId="77777777" w:rsidTr="000B6C1A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4E871BC" w14:textId="2EA8D64F" w:rsidR="0049632B" w:rsidRDefault="0049632B" w:rsidP="004963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  <w:r w:rsidR="00CF407D">
              <w:rPr>
                <w:rFonts w:ascii="Calibri" w:eastAsia="Calibri" w:hAnsi="Calibri" w:cs="Calibri"/>
              </w:rPr>
              <w:t xml:space="preserve"> </w:t>
            </w:r>
          </w:p>
        </w:tc>
      </w:tr>
      <w:bookmarkEnd w:id="1"/>
      <w:tr w:rsidR="0049632B" w14:paraId="06DB32D1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215DE" w14:textId="46A8B0C2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Pr="43413B4B">
              <w:rPr>
                <w:rFonts w:ascii="Calibri" w:eastAsia="Calibri" w:hAnsi="Calibri" w:cs="Calibri"/>
              </w:rPr>
              <w:t>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CDAE68" w14:textId="2190B3FD" w:rsidR="0049632B" w:rsidRPr="0049632B" w:rsidRDefault="0049632B" w:rsidP="004963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632B">
              <w:rPr>
                <w:rFonts w:eastAsia="Calibri" w:cstheme="minorHAnsi"/>
                <w:sz w:val="24"/>
                <w:szCs w:val="24"/>
              </w:rPr>
              <w:t xml:space="preserve">Absolwent potrafi wykorzystać wiedzę </w:t>
            </w:r>
            <w:r w:rsidRPr="0049632B">
              <w:rPr>
                <w:rFonts w:cstheme="minorHAnsi"/>
                <w:sz w:val="24"/>
                <w:szCs w:val="24"/>
              </w:rPr>
              <w:t>do analizowania i interpretowania, a także rozwiązywania praktycznych problemów z</w:t>
            </w:r>
            <w:r w:rsidRPr="0049632B">
              <w:rPr>
                <w:rFonts w:eastAsia="Calibri" w:cstheme="minorHAnsi"/>
                <w:sz w:val="24"/>
                <w:szCs w:val="24"/>
              </w:rPr>
              <w:t xml:space="preserve"> zakresu marketingu międzynarodowego</w:t>
            </w:r>
            <w:r w:rsidR="0007474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88D92" w14:textId="26A267D9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 xml:space="preserve">01 </w:t>
            </w:r>
          </w:p>
          <w:p w14:paraId="714BDFF2" w14:textId="7777777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32B" w14:paraId="5686697D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A0023" w14:textId="1FB61800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400F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3F052" w14:textId="3F13F328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potrafi </w:t>
            </w:r>
            <w:r w:rsidR="005E35FD" w:rsidRPr="005E35FD">
              <w:rPr>
                <w:rFonts w:ascii="Calibri" w:eastAsia="Calibri" w:hAnsi="Calibri" w:cs="Calibri"/>
              </w:rPr>
              <w:t xml:space="preserve">prezentować i argumentować własne pomysły i wątpliwości oraz zaproponować kreatywne rozwiązania problemów </w:t>
            </w:r>
            <w:r w:rsidR="005E35FD">
              <w:rPr>
                <w:rFonts w:ascii="Calibri" w:eastAsia="Calibri" w:hAnsi="Calibri" w:cs="Calibri"/>
              </w:rPr>
              <w:t xml:space="preserve">z zakresu </w:t>
            </w:r>
            <w:r w:rsidRPr="43413B4B">
              <w:rPr>
                <w:rFonts w:ascii="Calibri" w:eastAsia="Calibri" w:hAnsi="Calibri" w:cs="Calibri"/>
              </w:rPr>
              <w:t>marketingu międzynarodowego</w:t>
            </w:r>
            <w:r w:rsidR="000747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4736B4" w14:textId="7E9C8AFB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</w:t>
            </w: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08</w:t>
            </w:r>
          </w:p>
          <w:p w14:paraId="530A8B14" w14:textId="77777777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E0F8A" w14:paraId="67BF8E98" w14:textId="77777777" w:rsidTr="00B771AB">
        <w:trPr>
          <w:trHeight w:val="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882B" w14:textId="66BBFF92" w:rsidR="004E0F8A" w:rsidRPr="43413B4B" w:rsidRDefault="004E0F8A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8A27F75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1A3E7" w14:textId="119F1D15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9C324" w14:textId="7B642D61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 potrafi wyr</w:t>
            </w:r>
            <w:r w:rsidR="00BE3AB6">
              <w:rPr>
                <w:rFonts w:ascii="Calibri" w:eastAsia="Calibri" w:hAnsi="Calibri" w:cs="Calibri"/>
              </w:rPr>
              <w:t>ażać</w:t>
            </w:r>
            <w:r>
              <w:rPr>
                <w:rFonts w:ascii="Calibri" w:eastAsia="Calibri" w:hAnsi="Calibri" w:cs="Calibri"/>
              </w:rPr>
              <w:t xml:space="preserve"> własne poglądy </w:t>
            </w:r>
            <w:r w:rsidR="002E2297">
              <w:rPr>
                <w:rFonts w:ascii="Calibri" w:eastAsia="Calibri" w:hAnsi="Calibri" w:cs="Calibri"/>
              </w:rPr>
              <w:t>dotyczące marketingu międzynarodowego i poddać je ocenie podczas dyskusji w grupie</w:t>
            </w:r>
            <w:r w:rsidR="000747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FF6F8" w14:textId="21805534" w:rsidR="004E0F8A" w:rsidRPr="43413B4B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K_K01</w:t>
            </w:r>
          </w:p>
        </w:tc>
      </w:tr>
    </w:tbl>
    <w:p w14:paraId="43D5C16D" w14:textId="76D7191E" w:rsidR="43413B4B" w:rsidRDefault="00E12028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E12028">
        <w:rPr>
          <w:rFonts w:ascii="Calibri" w:eastAsia="Calibri" w:hAnsi="Calibri" w:cs="Calibri"/>
          <w:b/>
          <w:bCs/>
        </w:rPr>
        <w:t xml:space="preserve">Uwagi: </w:t>
      </w:r>
      <w:r w:rsidRPr="00E12028">
        <w:rPr>
          <w:rFonts w:ascii="Calibri" w:eastAsia="Calibri" w:hAnsi="Calibri" w:cs="Calibri"/>
          <w:bCs/>
        </w:rPr>
        <w:t xml:space="preserve">W przypadku podjęcia decyzji przez władze Uniwersytetu o przejściu w tryb nauki zdalnej, efekty kształcenia będą realizowane i weryfikowane przy wykorzystaniu narzędzi MS </w:t>
      </w:r>
      <w:proofErr w:type="spellStart"/>
      <w:r w:rsidRPr="00E12028">
        <w:rPr>
          <w:rFonts w:ascii="Calibri" w:eastAsia="Calibri" w:hAnsi="Calibri" w:cs="Calibri"/>
          <w:bCs/>
        </w:rPr>
        <w:t>Teams</w:t>
      </w:r>
      <w:proofErr w:type="spellEnd"/>
      <w:r w:rsidRPr="00E12028">
        <w:rPr>
          <w:rFonts w:ascii="Calibri" w:eastAsia="Calibri" w:hAnsi="Calibri" w:cs="Calibri"/>
          <w:bCs/>
        </w:rPr>
        <w:t xml:space="preserve"> lub platformy </w:t>
      </w:r>
      <w:proofErr w:type="spellStart"/>
      <w:r w:rsidRPr="00E12028">
        <w:rPr>
          <w:rFonts w:ascii="Calibri" w:eastAsia="Calibri" w:hAnsi="Calibri" w:cs="Calibri"/>
          <w:bCs/>
        </w:rPr>
        <w:t>Moodle</w:t>
      </w:r>
      <w:proofErr w:type="spellEnd"/>
      <w:r w:rsidRPr="00E12028">
        <w:rPr>
          <w:rFonts w:ascii="Calibri" w:eastAsia="Calibri" w:hAnsi="Calibri" w:cs="Calibri"/>
          <w:bCs/>
        </w:rPr>
        <w:t>.</w:t>
      </w:r>
    </w:p>
    <w:p w14:paraId="0D16BDF1" w14:textId="77777777" w:rsidR="00F02EDE" w:rsidRDefault="43413B4B" w:rsidP="43413B4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Opis przedmiotu/ treści programowe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3F68CA33" w14:textId="77777777" w:rsidTr="008C13D9">
        <w:trPr>
          <w:trHeight w:val="1"/>
        </w:trPr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A6959E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D62D460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1. Istota i zakres marketingu międzynarodowego</w:t>
            </w:r>
          </w:p>
          <w:p w14:paraId="6DC9310A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2. Internacjonalizacja przedsiębiorstw</w:t>
            </w:r>
          </w:p>
          <w:p w14:paraId="5FCE0821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3. Internacjonalizacja konsumentów</w:t>
            </w:r>
          </w:p>
          <w:p w14:paraId="27F2833D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4. Tworzenie i rozwój produktu na rynku międzynarodowym</w:t>
            </w:r>
          </w:p>
          <w:p w14:paraId="52BC5446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5. Dylematy standaryzacji produktu na rynku międzynarodowym</w:t>
            </w:r>
          </w:p>
          <w:p w14:paraId="067A98B4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6. Marka i jej pozycjonowanie na rynku międzynarodowym</w:t>
            </w:r>
          </w:p>
          <w:p w14:paraId="718578BE" w14:textId="77777777" w:rsidR="00F02EDE" w:rsidRDefault="43413B4B" w:rsidP="43413B4B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7. Etyka w marketingu międzynarodowym</w:t>
            </w:r>
          </w:p>
        </w:tc>
      </w:tr>
    </w:tbl>
    <w:p w14:paraId="738610EB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77A84DE" w14:textId="77777777" w:rsidR="00F02EDE" w:rsidRDefault="43413B4B" w:rsidP="43413B4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Metody realizacji i weryfikacji efektów 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F02EDE" w14:paraId="1689BF88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1A4F7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Symbol efektu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86910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dydaktyczne</w:t>
            </w:r>
          </w:p>
          <w:p w14:paraId="10B4B039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8D6B5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weryfikacji</w:t>
            </w:r>
          </w:p>
          <w:p w14:paraId="243D084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706B2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Sposoby dokumentacji</w:t>
            </w:r>
          </w:p>
          <w:p w14:paraId="6963A01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</w:tr>
      <w:tr w:rsidR="00F02EDE" w14:paraId="5F309F4E" w14:textId="77777777" w:rsidTr="008C13D9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913C0" w14:textId="77777777" w:rsidR="00F02EDE" w:rsidRPr="002E2297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  <w:bCs/>
              </w:rPr>
              <w:t>WIEDZA</w:t>
            </w:r>
          </w:p>
        </w:tc>
      </w:tr>
      <w:tr w:rsidR="00CF407D" w14:paraId="294A2702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3F35ED04" w14:textId="1D795778" w:rsidR="00CF407D" w:rsidRDefault="00CF407D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W_01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43FDA238" w14:textId="06EF592D" w:rsidR="00CF407D" w:rsidRDefault="00CF407D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3BB0">
              <w:t>Wykład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48C9B875" w14:textId="62FA6EEF" w:rsidR="00CF407D" w:rsidRPr="00955EC7" w:rsidRDefault="00CF407D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3BB0">
              <w:t>Zaliczenie pisemne (test)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4FAABC1" w14:textId="62143DD9" w:rsidR="00CF407D" w:rsidRDefault="00CF407D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3BB0">
              <w:t>Rozwiązany test</w:t>
            </w:r>
          </w:p>
        </w:tc>
      </w:tr>
      <w:tr w:rsidR="000D4CEE" w14:paraId="06623E9F" w14:textId="77777777" w:rsidTr="00E21E01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E96B31D" w14:textId="31300DE6" w:rsidR="000D4CEE" w:rsidRPr="002E2297" w:rsidRDefault="000D4CEE" w:rsidP="000D4C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UMIEJĘTNOŚCI</w:t>
            </w:r>
          </w:p>
        </w:tc>
      </w:tr>
      <w:tr w:rsidR="00CF407D" w14:paraId="171656A1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0CD540EE" w14:textId="77777777" w:rsidR="00CF407D" w:rsidRDefault="00CF407D" w:rsidP="00CF40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E0F8A">
              <w:rPr>
                <w:rFonts w:ascii="Calibri" w:eastAsia="Calibri" w:hAnsi="Calibri" w:cs="Calibri"/>
                <w:b/>
                <w:bCs/>
              </w:rPr>
              <w:t>U_01</w:t>
            </w:r>
          </w:p>
          <w:p w14:paraId="02092080" w14:textId="009499B3" w:rsidR="00CF407D" w:rsidRPr="43413B4B" w:rsidRDefault="00CF407D" w:rsidP="00CF40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U_02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3306D99" w14:textId="29C03F6A" w:rsidR="00CF407D" w:rsidRPr="43413B4B" w:rsidRDefault="000814DF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Studium przypadku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63E948AB" w14:textId="50302379" w:rsidR="00CF407D" w:rsidRPr="00955EC7" w:rsidRDefault="00CF407D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3835">
              <w:t>Samodzielnie rozwiązany problem (studium przypadku)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0795C0E9" w14:textId="3A8A60CB" w:rsidR="00CF407D" w:rsidRPr="43413B4B" w:rsidRDefault="000814DF" w:rsidP="00CF4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Raport z ocenami z rozwiązanych studiów przypadków</w:t>
            </w:r>
          </w:p>
        </w:tc>
      </w:tr>
      <w:tr w:rsidR="004E0F8A" w14:paraId="58573C72" w14:textId="77777777" w:rsidTr="00801896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BA01BCC" w14:textId="3E4EFD34" w:rsidR="004E0F8A" w:rsidRPr="43413B4B" w:rsidRDefault="002E2297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F38481E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6D43002B" w14:textId="7A173DE0" w:rsidR="004E0F8A" w:rsidRPr="43413B4B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E6A5713" w14:textId="4FDC9DC4" w:rsidR="002E2297" w:rsidRPr="43413B4B" w:rsidRDefault="002E2297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Dyskusja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109B4BA6" w14:textId="5C793C21" w:rsidR="004E0F8A" w:rsidRPr="008C13D9" w:rsidRDefault="002E2297" w:rsidP="43413B4B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lang w:val="en-GB"/>
              </w:rPr>
              <w:t>Obserwacja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prowadzącego</w:t>
            </w:r>
            <w:proofErr w:type="spellEnd"/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0B1C751" w14:textId="7FA7E344" w:rsidR="004E0F8A" w:rsidRPr="43413B4B" w:rsidRDefault="001A7E94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Raport obecności z punktami</w:t>
            </w:r>
          </w:p>
        </w:tc>
      </w:tr>
    </w:tbl>
    <w:p w14:paraId="02098EFC" w14:textId="02CC9781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16D368F0" w14:textId="77777777" w:rsidR="00F02EDE" w:rsidRDefault="43413B4B" w:rsidP="43413B4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Kryteria oceny, wagi</w:t>
      </w:r>
    </w:p>
    <w:p w14:paraId="44FBCAD6" w14:textId="37A8E96C" w:rsidR="00BE3AB6" w:rsidRDefault="00CF407D" w:rsidP="43413B4B">
      <w:pPr>
        <w:spacing w:after="0" w:line="276" w:lineRule="auto"/>
        <w:rPr>
          <w:rFonts w:ascii="Calibri" w:eastAsia="Calibri" w:hAnsi="Calibri" w:cs="Calibri"/>
        </w:rPr>
      </w:pPr>
      <w:r w:rsidRPr="00CF407D">
        <w:rPr>
          <w:rFonts w:ascii="Calibri" w:eastAsia="Calibri" w:hAnsi="Calibri" w:cs="Calibri"/>
        </w:rPr>
        <w:t>Wiedza zostanie oceniona na podstawie egzaminu pisemnego</w:t>
      </w:r>
      <w:r>
        <w:rPr>
          <w:rFonts w:ascii="Calibri" w:eastAsia="Calibri" w:hAnsi="Calibri" w:cs="Calibri"/>
        </w:rPr>
        <w:t>.</w:t>
      </w:r>
      <w:r w:rsidRPr="00CF407D">
        <w:rPr>
          <w:rFonts w:ascii="Calibri" w:eastAsia="Calibri" w:hAnsi="Calibri" w:cs="Calibri"/>
        </w:rPr>
        <w:t xml:space="preserve"> Umiejętności zostaną ocenione na podstawie </w:t>
      </w:r>
      <w:r w:rsidR="005F7E29">
        <w:rPr>
          <w:rFonts w:ascii="Calibri" w:eastAsia="Calibri" w:hAnsi="Calibri" w:cs="Calibri"/>
        </w:rPr>
        <w:t>s</w:t>
      </w:r>
      <w:r w:rsidRPr="00CF407D">
        <w:rPr>
          <w:rFonts w:ascii="Calibri" w:eastAsia="Calibri" w:hAnsi="Calibri" w:cs="Calibri"/>
        </w:rPr>
        <w:t xml:space="preserve">amodzielnie rozwiązanych problemów. Natomiast kompetencje społeczne na podstawie aktywności studentów podczas zajęć. Liczba możliwych do zdobycia punktów za poszczególne rodzaje </w:t>
      </w:r>
      <w:r w:rsidRPr="00CF407D">
        <w:rPr>
          <w:rFonts w:ascii="Calibri" w:eastAsia="Calibri" w:hAnsi="Calibri" w:cs="Calibri"/>
        </w:rPr>
        <w:lastRenderedPageBreak/>
        <w:t>efektów to 50 - wiedza, 30 – umiejętności oraz 20 kompetencje społeczne. Ocena ostateczna zostanie wystawiona według następującej skali</w:t>
      </w:r>
      <w:r w:rsidR="005F7E29">
        <w:rPr>
          <w:rFonts w:ascii="Calibri" w:eastAsia="Calibri" w:hAnsi="Calibri" w:cs="Calibri"/>
        </w:rPr>
        <w:t>:</w:t>
      </w:r>
    </w:p>
    <w:p w14:paraId="051880A9" w14:textId="180C87EC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01243777" w14:textId="77777777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0-50 ocena niedostateczna</w:t>
      </w:r>
    </w:p>
    <w:p w14:paraId="65707910" w14:textId="587FD62F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51- 60 ocena dostateczna</w:t>
      </w:r>
    </w:p>
    <w:p w14:paraId="26E15ACB" w14:textId="70535200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61-70 ocena dostateczna plus</w:t>
      </w:r>
    </w:p>
    <w:p w14:paraId="2E64E5FA" w14:textId="3D1C9D29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71-80 ocena dobra</w:t>
      </w:r>
    </w:p>
    <w:p w14:paraId="6FD7858E" w14:textId="7E6348A6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81-90 ocena dobra plus</w:t>
      </w:r>
    </w:p>
    <w:p w14:paraId="33C728E0" w14:textId="29AF25C8" w:rsid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91-100 ocena bardzo dobr</w:t>
      </w:r>
      <w:r>
        <w:rPr>
          <w:rFonts w:ascii="Calibri" w:eastAsia="Calibri" w:hAnsi="Calibri" w:cs="Calibri"/>
        </w:rPr>
        <w:t>y</w:t>
      </w:r>
    </w:p>
    <w:p w14:paraId="63C378CB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3B7B4B86" w14:textId="77777777" w:rsidR="00F02EDE" w:rsidRDefault="00F02EDE" w:rsidP="43413B4B">
      <w:pPr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79EF87A7" w14:textId="77777777" w:rsidR="00F02EDE" w:rsidRDefault="43413B4B" w:rsidP="43413B4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Obciążenie pracą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02EDE" w14:paraId="7D5DE7A8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EBE9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737112D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</w:tr>
      <w:tr w:rsidR="00F02EDE" w14:paraId="33BE6270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DC38E9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1829076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0892AD5A" w14:textId="638E9B0F" w:rsidR="00F02EDE" w:rsidRDefault="00BE3AB6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02EDE" w14:paraId="5BBB3C82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6F1B0E0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 indywidualnej pracy studenta</w:t>
            </w:r>
          </w:p>
          <w:p w14:paraId="2BA226A1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43FBD11F" w14:textId="633E965D" w:rsidR="00F02EDE" w:rsidRDefault="002115CA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14:paraId="17AD93B2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2CEE35C2" w14:textId="079A2374" w:rsidR="43413B4B" w:rsidRDefault="43413B4B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370A747" w14:textId="5AEFA083" w:rsidR="43413B4B" w:rsidRDefault="43413B4B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64FB39D0" w14:textId="2F027DCB" w:rsidR="43413B4B" w:rsidRDefault="43413B4B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B3EF4A0" w14:textId="77777777" w:rsidR="00F02EDE" w:rsidRDefault="43413B4B" w:rsidP="43413B4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Literatura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4AA28130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93684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podstawowa</w:t>
            </w:r>
          </w:p>
        </w:tc>
      </w:tr>
      <w:tr w:rsidR="00F02EDE" w14:paraId="00EF652F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E6D2673" w14:textId="06095E4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K. Fonfara, Marketing międzynarodowy: współczesne trendy i praktyka, Warszawa 2014.</w:t>
            </w:r>
          </w:p>
          <w:p w14:paraId="30726BF7" w14:textId="698E8847" w:rsidR="00611137" w:rsidRDefault="00611137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1137">
              <w:rPr>
                <w:rFonts w:ascii="Calibri" w:eastAsia="Calibri" w:hAnsi="Calibri" w:cs="Calibri"/>
              </w:rPr>
              <w:t>Hauke-</w:t>
            </w:r>
            <w:proofErr w:type="spellStart"/>
            <w:r w:rsidRPr="00611137">
              <w:rPr>
                <w:rFonts w:ascii="Calibri" w:eastAsia="Calibri" w:hAnsi="Calibri" w:cs="Calibri"/>
              </w:rPr>
              <w:t>Lopes</w:t>
            </w:r>
            <w:proofErr w:type="spellEnd"/>
            <w:r w:rsidRPr="00611137">
              <w:rPr>
                <w:rFonts w:ascii="Calibri" w:eastAsia="Calibri" w:hAnsi="Calibri" w:cs="Calibri"/>
              </w:rPr>
              <w:t xml:space="preserve">, A., Ratajczak-Mrozek, M., </w:t>
            </w:r>
            <w:proofErr w:type="spellStart"/>
            <w:r w:rsidRPr="00611137">
              <w:rPr>
                <w:rFonts w:ascii="Calibri" w:eastAsia="Calibri" w:hAnsi="Calibri" w:cs="Calibri"/>
              </w:rPr>
              <w:t>Soniewicki</w:t>
            </w:r>
            <w:proofErr w:type="spellEnd"/>
            <w:r w:rsidRPr="00611137">
              <w:rPr>
                <w:rFonts w:ascii="Calibri" w:eastAsia="Calibri" w:hAnsi="Calibri" w:cs="Calibri"/>
              </w:rPr>
              <w:t>, M., &amp; Wieczerzycki, M</w:t>
            </w:r>
            <w:proofErr w:type="gramStart"/>
            <w:r w:rsidRPr="00611137">
              <w:rPr>
                <w:rFonts w:ascii="Calibri" w:eastAsia="Calibri" w:hAnsi="Calibri" w:cs="Calibri"/>
              </w:rPr>
              <w:t>. (2018). Marketing</w:t>
            </w:r>
            <w:proofErr w:type="gramEnd"/>
            <w:r w:rsidRPr="0061113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11137">
              <w:rPr>
                <w:rFonts w:ascii="Calibri" w:eastAsia="Calibri" w:hAnsi="Calibri" w:cs="Calibri"/>
              </w:rPr>
              <w:t>międzynarodowy-wyzwania</w:t>
            </w:r>
            <w:proofErr w:type="spellEnd"/>
            <w:r w:rsidRPr="00611137">
              <w:rPr>
                <w:rFonts w:ascii="Calibri" w:eastAsia="Calibri" w:hAnsi="Calibri" w:cs="Calibri"/>
              </w:rPr>
              <w:t xml:space="preserve"> dla przedsiębiorstw: studia przypadków i zadania. Wydawnictwo Uniwersytetu Ekonomicznego.</w:t>
            </w:r>
          </w:p>
          <w:p w14:paraId="0DE4B5B7" w14:textId="1538F1E5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238FE2AB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5E23A13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uzupełniająca</w:t>
            </w:r>
          </w:p>
        </w:tc>
      </w:tr>
      <w:tr w:rsidR="00F02EDE" w14:paraId="14A62B26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6CE29175" w14:textId="77777777" w:rsidR="00611137" w:rsidRDefault="00611137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W. Grzegorczyk, K. Szymańska (red.), </w:t>
            </w:r>
            <w:r w:rsidRPr="0000492E">
              <w:rPr>
                <w:rFonts w:ascii="Calibri" w:eastAsia="Calibri" w:hAnsi="Calibri" w:cs="Calibri"/>
              </w:rPr>
              <w:t>Strategie marketingowe polskich przedsiębiorstw na rynkach zagranicznych. Studia przypadków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4F4C8C">
              <w:rPr>
                <w:rFonts w:ascii="Calibri" w:eastAsia="Calibri" w:hAnsi="Calibri" w:cs="Calibri"/>
              </w:rPr>
              <w:t>Studia przypadków</w:t>
            </w:r>
            <w:r>
              <w:rPr>
                <w:rFonts w:ascii="Calibri" w:eastAsia="Calibri" w:hAnsi="Calibri" w:cs="Calibri"/>
              </w:rPr>
              <w:t>, Łódź 2016.</w:t>
            </w:r>
          </w:p>
          <w:p w14:paraId="1F87DE74" w14:textId="6DB105E6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N. M. </w:t>
            </w:r>
            <w:proofErr w:type="spellStart"/>
            <w:r w:rsidRPr="43413B4B">
              <w:rPr>
                <w:rFonts w:ascii="Calibri" w:eastAsia="Calibri" w:hAnsi="Calibri" w:cs="Calibri"/>
              </w:rPr>
              <w:t>Pazio</w:t>
            </w:r>
            <w:proofErr w:type="spellEnd"/>
            <w:r w:rsidRPr="43413B4B">
              <w:rPr>
                <w:rFonts w:ascii="Calibri" w:eastAsia="Calibri" w:hAnsi="Calibri" w:cs="Calibri"/>
              </w:rPr>
              <w:t>, Marketing na rynkach międzynarodowych, Warszawa 2016.</w:t>
            </w:r>
          </w:p>
        </w:tc>
      </w:tr>
    </w:tbl>
    <w:p w14:paraId="2DBF0D7D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</w:rPr>
      </w:pPr>
    </w:p>
    <w:p w14:paraId="5D3BA2DA" w14:textId="77777777" w:rsidR="00F02EDE" w:rsidRDefault="43413B4B" w:rsidP="00E12028">
      <w:pPr>
        <w:spacing w:after="200" w:line="276" w:lineRule="auto"/>
        <w:jc w:val="right"/>
        <w:rPr>
          <w:rFonts w:ascii="Calibri" w:eastAsia="Calibri" w:hAnsi="Calibri" w:cs="Calibri"/>
        </w:rPr>
      </w:pPr>
      <w:r w:rsidRPr="43413B4B">
        <w:rPr>
          <w:rFonts w:ascii="Calibri" w:eastAsia="Calibri" w:hAnsi="Calibri" w:cs="Calibri"/>
        </w:rPr>
        <w:t xml:space="preserve">Podpis pracownika </w:t>
      </w:r>
    </w:p>
    <w:p w14:paraId="4684F409" w14:textId="77777777" w:rsidR="00F02EDE" w:rsidRDefault="43413B4B" w:rsidP="00E12028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</w:rPr>
        <w:t>Grzegorz Zasuwa</w:t>
      </w:r>
    </w:p>
    <w:p w14:paraId="6B62F1B3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</w:rPr>
      </w:pPr>
    </w:p>
    <w:sectPr w:rsidR="00F02ED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F"/>
    <w:multiLevelType w:val="multilevel"/>
    <w:tmpl w:val="2AE28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47596"/>
    <w:multiLevelType w:val="multilevel"/>
    <w:tmpl w:val="96FE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212C4"/>
    <w:multiLevelType w:val="multilevel"/>
    <w:tmpl w:val="31E0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47922"/>
    <w:multiLevelType w:val="multilevel"/>
    <w:tmpl w:val="AE3C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657C5"/>
    <w:multiLevelType w:val="multilevel"/>
    <w:tmpl w:val="D3B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D3DC2"/>
    <w:multiLevelType w:val="multilevel"/>
    <w:tmpl w:val="17C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D7356"/>
    <w:multiLevelType w:val="multilevel"/>
    <w:tmpl w:val="EA683B1E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014C4"/>
    <w:multiLevelType w:val="hybridMultilevel"/>
    <w:tmpl w:val="B28AE4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503E75"/>
    <w:multiLevelType w:val="multilevel"/>
    <w:tmpl w:val="C4CEA8A2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EwBdImxiaGhko6SsGpxcWZ+XkgBRa1AMAy9ZssAAAA"/>
  </w:docVars>
  <w:rsids>
    <w:rsidRoot w:val="121C47D1"/>
    <w:rsid w:val="0000492E"/>
    <w:rsid w:val="000400FB"/>
    <w:rsid w:val="00074747"/>
    <w:rsid w:val="000814DF"/>
    <w:rsid w:val="000D4CEE"/>
    <w:rsid w:val="00155D6C"/>
    <w:rsid w:val="001A7E94"/>
    <w:rsid w:val="002115CA"/>
    <w:rsid w:val="002E2297"/>
    <w:rsid w:val="003C57A3"/>
    <w:rsid w:val="00422070"/>
    <w:rsid w:val="004678D0"/>
    <w:rsid w:val="004811D2"/>
    <w:rsid w:val="0049632B"/>
    <w:rsid w:val="004E0F8A"/>
    <w:rsid w:val="00521B30"/>
    <w:rsid w:val="00527F70"/>
    <w:rsid w:val="005E35FD"/>
    <w:rsid w:val="005F7E29"/>
    <w:rsid w:val="00611137"/>
    <w:rsid w:val="0063297B"/>
    <w:rsid w:val="007A74F5"/>
    <w:rsid w:val="00823E13"/>
    <w:rsid w:val="00837D44"/>
    <w:rsid w:val="008C13D9"/>
    <w:rsid w:val="00955EC7"/>
    <w:rsid w:val="009B5DCB"/>
    <w:rsid w:val="00AD2749"/>
    <w:rsid w:val="00B26ED4"/>
    <w:rsid w:val="00BE3AB6"/>
    <w:rsid w:val="00CF407D"/>
    <w:rsid w:val="00E12028"/>
    <w:rsid w:val="00EE4BDF"/>
    <w:rsid w:val="00F02EDE"/>
    <w:rsid w:val="00F438F6"/>
    <w:rsid w:val="07C8305E"/>
    <w:rsid w:val="121C47D1"/>
    <w:rsid w:val="159E4A73"/>
    <w:rsid w:val="303FD32B"/>
    <w:rsid w:val="40B9957D"/>
    <w:rsid w:val="43413B4B"/>
    <w:rsid w:val="4CCEF534"/>
    <w:rsid w:val="504B051D"/>
    <w:rsid w:val="667AC06D"/>
    <w:rsid w:val="6C5B1CE0"/>
    <w:rsid w:val="6DBE2AC5"/>
    <w:rsid w:val="75E8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35A"/>
  <w15:docId w15:val="{A0B0D3A3-C235-4975-B2E8-E1A44D6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49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D30C23F854B45B48E44EF29FC8E91" ma:contentTypeVersion="13" ma:contentTypeDescription="Utwórz nowy dokument." ma:contentTypeScope="" ma:versionID="7247c4ad9d69b8905bb2a951ea3b8a4b">
  <xsd:schema xmlns:xsd="http://www.w3.org/2001/XMLSchema" xmlns:xs="http://www.w3.org/2001/XMLSchema" xmlns:p="http://schemas.microsoft.com/office/2006/metadata/properties" xmlns:ns3="5c73eb07-a6f5-4238-adc4-54a3d3074119" xmlns:ns4="821db994-679d-4a59-9d7b-a41b5a50ad33" targetNamespace="http://schemas.microsoft.com/office/2006/metadata/properties" ma:root="true" ma:fieldsID="9db1b6e0378c6de43ff2426e1426010f" ns3:_="" ns4:_="">
    <xsd:import namespace="5c73eb07-a6f5-4238-adc4-54a3d3074119"/>
    <xsd:import namespace="821db994-679d-4a59-9d7b-a41b5a50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eb07-a6f5-4238-adc4-54a3d307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b994-679d-4a59-9d7b-a41b5a5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B8038-93A2-4AEC-8285-E1B649E9A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1D187-2BA5-47EB-9911-B2C451F3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ACABA-2306-42F4-BFEA-152C6DB2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eb07-a6f5-4238-adc4-54a3d3074119"/>
    <ds:schemaRef ds:uri="821db994-679d-4a59-9d7b-a41b5a50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Autor</cp:lastModifiedBy>
  <cp:revision>2</cp:revision>
  <cp:lastPrinted>2021-02-22T21:53:00Z</cp:lastPrinted>
  <dcterms:created xsi:type="dcterms:W3CDTF">2022-11-15T08:05:00Z</dcterms:created>
  <dcterms:modified xsi:type="dcterms:W3CDTF">2022-11-15T08:05:00Z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0x0101000F0D30C23F854B45B48E44EF29FC8E91</vt:lpwstr>
  </property>
  <property fmtid="{D5CDD505-2E9C-101B-9397-08002B2CF9AE}" pid="3" name="GrammarlyDocumentId">
    <vt:lpwstr>eb1fa284e680d2ac9130ee20e02d4d8d39341df67a1c83fce0ba99a2024f44f9</vt:lpwstr>
  </property>
</Properties>
</file>