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306" w:right="301" w:hanging="0"/>
        <w:jc w:val="center"/>
        <w:outlineLvl w:val="1"/>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REGULAMIN</w:t>
      </w:r>
    </w:p>
    <w:p>
      <w:pPr>
        <w:pStyle w:val="Normal"/>
        <w:spacing w:lineRule="auto" w:line="240" w:before="0" w:after="0"/>
        <w:ind w:right="261"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szczegółowego trybu przeprowadzania postępowań doktorskich w dziedzinie nauk humanistycznych, w </w:t>
      </w:r>
      <w:r>
        <w:rPr>
          <w:rFonts w:eastAsia="Times New Roman" w:cs="Times New Roman" w:ascii="Times New Roman" w:hAnsi="Times New Roman"/>
          <w:b/>
          <w:bCs/>
          <w:color w:val="000000" w:themeColor="text1"/>
          <w:sz w:val="24"/>
          <w:szCs w:val="24"/>
          <w:lang w:eastAsia="pl-PL"/>
        </w:rPr>
        <w:t xml:space="preserve">dyscyplinie literaturoznawstwo </w:t>
      </w:r>
      <w:r>
        <w:rPr>
          <w:rFonts w:eastAsia="Times New Roman" w:cs="Times New Roman" w:ascii="Times New Roman" w:hAnsi="Times New Roman"/>
          <w:b/>
          <w:bCs/>
          <w:sz w:val="24"/>
          <w:szCs w:val="24"/>
          <w:lang w:eastAsia="pl-PL"/>
        </w:rPr>
        <w:t>dla postępowań wszczętych w okresie 1.10.2019-31.12.2020 oraz od 1.01.2021 r.</w:t>
      </w:r>
    </w:p>
    <w:p>
      <w:pPr>
        <w:pStyle w:val="Normal"/>
        <w:spacing w:lineRule="auto" w:line="240" w:before="0" w:after="0"/>
        <w:ind w:left="306" w:right="301"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113" w:right="108" w:hanging="0"/>
        <w:jc w:val="both"/>
        <w:rPr>
          <w:rFonts w:ascii="Times New Roman" w:hAnsi="Times New Roman" w:eastAsia="Times New Roman" w:cs="Times New Roman"/>
          <w:sz w:val="24"/>
          <w:szCs w:val="24"/>
          <w:u w:val="single"/>
          <w:lang w:eastAsia="pl-PL"/>
        </w:rPr>
      </w:pPr>
      <w:r>
        <w:rPr>
          <w:rFonts w:eastAsia="Times New Roman" w:cs="Times New Roman" w:ascii="Times New Roman" w:hAnsi="Times New Roman"/>
          <w:sz w:val="24"/>
          <w:szCs w:val="24"/>
          <w:u w:val="single"/>
          <w:lang w:eastAsia="pl-PL"/>
        </w:rPr>
        <w:t xml:space="preserve">Na podstawie </w:t>
      </w:r>
    </w:p>
    <w:p>
      <w:pPr>
        <w:pStyle w:val="Normal"/>
        <w:spacing w:lineRule="auto" w:line="240" w:before="0" w:after="0"/>
        <w:ind w:left="113"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ustawy </w:t>
      </w:r>
      <w:r>
        <w:rPr>
          <w:rFonts w:eastAsia="Times New Roman" w:cs="Times New Roman" w:ascii="Times New Roman" w:hAnsi="Times New Roman"/>
          <w:i/>
          <w:iCs/>
          <w:sz w:val="24"/>
          <w:szCs w:val="24"/>
          <w:lang w:eastAsia="pl-PL"/>
        </w:rPr>
        <w:t>Prawo o szkolnictwie wyższym i nauce</w:t>
      </w:r>
      <w:r>
        <w:rPr>
          <w:rFonts w:eastAsia="Times New Roman" w:cs="Times New Roman" w:ascii="Times New Roman" w:hAnsi="Times New Roman"/>
          <w:sz w:val="24"/>
          <w:szCs w:val="24"/>
          <w:lang w:eastAsia="pl-PL"/>
        </w:rPr>
        <w:t xml:space="preserve"> [w tekście: Ustawa] 2.0 z dn. 20 lipca 2018 r. (Dz.U. 2018 poz. 1668),</w:t>
      </w:r>
    </w:p>
    <w:p>
      <w:pPr>
        <w:pStyle w:val="Normal"/>
        <w:spacing w:lineRule="auto" w:line="240" w:before="0" w:after="0"/>
        <w:ind w:left="113"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ustawy z dn. 3 lipca 2018 r</w:t>
      </w:r>
      <w:r>
        <w:rPr>
          <w:rFonts w:eastAsia="Times New Roman" w:cs="Times New Roman" w:ascii="Times New Roman" w:hAnsi="Times New Roman"/>
          <w:i/>
          <w:iCs/>
          <w:sz w:val="24"/>
          <w:szCs w:val="24"/>
          <w:lang w:eastAsia="pl-PL"/>
        </w:rPr>
        <w:t xml:space="preserve">. Przepisy wprowadzające ustawę - Prawo o szkolnictwie wyższym i nauce </w:t>
      </w:r>
      <w:r>
        <w:rPr>
          <w:rFonts w:eastAsia="Times New Roman" w:cs="Times New Roman" w:ascii="Times New Roman" w:hAnsi="Times New Roman"/>
          <w:iCs/>
          <w:sz w:val="24"/>
          <w:szCs w:val="24"/>
          <w:lang w:eastAsia="pl-PL"/>
        </w:rPr>
        <w:t>(Dz.U. 2018, poz. 1669)</w:t>
      </w:r>
      <w:r>
        <w:rPr>
          <w:rFonts w:eastAsia="Times New Roman" w:cs="Times New Roman" w:ascii="Times New Roman" w:hAnsi="Times New Roman"/>
          <w:sz w:val="24"/>
          <w:szCs w:val="24"/>
          <w:lang w:eastAsia="pl-PL"/>
        </w:rPr>
        <w:t>,</w:t>
      </w:r>
    </w:p>
    <w:p>
      <w:pPr>
        <w:pStyle w:val="Normal"/>
        <w:spacing w:lineRule="auto" w:line="240" w:before="0" w:after="0"/>
        <w:ind w:left="113"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3) uchwały 813/II/I Senatu KUL z dn. 21.11.2019 (MONITOR KUL, poz. 556/2019</w:t>
      </w:r>
      <w:r>
        <w:rPr>
          <w:rFonts w:eastAsia="Times New Roman" w:cs="Times New Roman" w:ascii="Times New Roman" w:hAnsi="Times New Roman"/>
          <w:spacing w:val="22"/>
          <w:sz w:val="24"/>
          <w:szCs w:val="24"/>
          <w:lang w:eastAsia="pl-PL"/>
        </w:rPr>
        <w:t xml:space="preserve"> </w:t>
      </w:r>
      <w:r>
        <w:rPr>
          <w:rFonts w:eastAsia="Times New Roman" w:cs="Times New Roman" w:ascii="Times New Roman" w:hAnsi="Times New Roman"/>
          <w:i/>
          <w:iCs/>
          <w:sz w:val="24"/>
          <w:szCs w:val="24"/>
          <w:lang w:eastAsia="pl-PL"/>
        </w:rPr>
        <w:t>Zas</w:t>
      </w:r>
      <w:r>
        <w:rPr>
          <w:rFonts w:eastAsia="Times New Roman" w:cs="Times New Roman" w:ascii="Times New Roman" w:hAnsi="Times New Roman"/>
          <w:i/>
          <w:iCs/>
          <w:spacing w:val="-2"/>
          <w:sz w:val="24"/>
          <w:szCs w:val="24"/>
          <w:lang w:eastAsia="pl-PL"/>
        </w:rPr>
        <w:t>a</w:t>
      </w:r>
      <w:r>
        <w:rPr>
          <w:rFonts w:eastAsia="Times New Roman" w:cs="Times New Roman" w:ascii="Times New Roman" w:hAnsi="Times New Roman"/>
          <w:i/>
          <w:iCs/>
          <w:sz w:val="24"/>
          <w:szCs w:val="24"/>
          <w:lang w:eastAsia="pl-PL"/>
        </w:rPr>
        <w:t xml:space="preserve">dy </w:t>
      </w:r>
      <w:r>
        <w:rPr>
          <w:rFonts w:eastAsia="Times New Roman" w:cs="Times New Roman" w:ascii="Times New Roman" w:hAnsi="Times New Roman"/>
          <w:i/>
          <w:iCs/>
          <w:spacing w:val="-2"/>
          <w:sz w:val="24"/>
          <w:szCs w:val="24"/>
          <w:lang w:eastAsia="pl-PL"/>
        </w:rPr>
        <w:t>na</w:t>
      </w:r>
      <w:r>
        <w:rPr>
          <w:rFonts w:eastAsia="Times New Roman" w:cs="Times New Roman" w:ascii="Times New Roman" w:hAnsi="Times New Roman"/>
          <w:i/>
          <w:iCs/>
          <w:sz w:val="24"/>
          <w:szCs w:val="24"/>
          <w:lang w:eastAsia="pl-PL"/>
        </w:rPr>
        <w:t>d</w:t>
      </w:r>
      <w:r>
        <w:rPr>
          <w:rFonts w:eastAsia="Times New Roman" w:cs="Times New Roman" w:ascii="Times New Roman" w:hAnsi="Times New Roman"/>
          <w:i/>
          <w:iCs/>
          <w:spacing w:val="-2"/>
          <w:sz w:val="24"/>
          <w:szCs w:val="24"/>
          <w:lang w:eastAsia="pl-PL"/>
        </w:rPr>
        <w:t>a</w:t>
      </w:r>
      <w:r>
        <w:rPr>
          <w:rFonts w:eastAsia="Times New Roman" w:cs="Times New Roman" w:ascii="Times New Roman" w:hAnsi="Times New Roman"/>
          <w:i/>
          <w:iCs/>
          <w:sz w:val="24"/>
          <w:szCs w:val="24"/>
          <w:lang w:eastAsia="pl-PL"/>
        </w:rPr>
        <w:t>w</w:t>
      </w:r>
      <w:r>
        <w:rPr>
          <w:rFonts w:eastAsia="Times New Roman" w:cs="Times New Roman" w:ascii="Times New Roman" w:hAnsi="Times New Roman"/>
          <w:i/>
          <w:iCs/>
          <w:spacing w:val="-2"/>
          <w:sz w:val="24"/>
          <w:szCs w:val="24"/>
          <w:lang w:eastAsia="pl-PL"/>
        </w:rPr>
        <w:t>an</w:t>
      </w:r>
      <w:r>
        <w:rPr>
          <w:rFonts w:eastAsia="Times New Roman" w:cs="Times New Roman" w:ascii="Times New Roman" w:hAnsi="Times New Roman"/>
          <w:i/>
          <w:iCs/>
          <w:sz w:val="24"/>
          <w:szCs w:val="24"/>
          <w:lang w:eastAsia="pl-PL"/>
        </w:rPr>
        <w:t>ia stop</w:t>
      </w:r>
      <w:r>
        <w:rPr>
          <w:rFonts w:eastAsia="Times New Roman" w:cs="Times New Roman" w:ascii="Times New Roman" w:hAnsi="Times New Roman"/>
          <w:i/>
          <w:iCs/>
          <w:spacing w:val="-2"/>
          <w:sz w:val="24"/>
          <w:szCs w:val="24"/>
          <w:lang w:eastAsia="pl-PL"/>
        </w:rPr>
        <w:t>n</w:t>
      </w:r>
      <w:r>
        <w:rPr>
          <w:rFonts w:eastAsia="Times New Roman" w:cs="Times New Roman" w:ascii="Times New Roman" w:hAnsi="Times New Roman"/>
          <w:i/>
          <w:iCs/>
          <w:sz w:val="24"/>
          <w:szCs w:val="24"/>
          <w:lang w:eastAsia="pl-PL"/>
        </w:rPr>
        <w:t xml:space="preserve">i </w:t>
      </w:r>
      <w:r>
        <w:rPr>
          <w:rFonts w:eastAsia="Times New Roman" w:cs="Times New Roman" w:ascii="Times New Roman" w:hAnsi="Times New Roman"/>
          <w:i/>
          <w:iCs/>
          <w:spacing w:val="-2"/>
          <w:sz w:val="24"/>
          <w:szCs w:val="24"/>
          <w:lang w:eastAsia="pl-PL"/>
        </w:rPr>
        <w:t>na</w:t>
      </w:r>
      <w:r>
        <w:rPr>
          <w:rFonts w:eastAsia="Times New Roman" w:cs="Times New Roman" w:ascii="Times New Roman" w:hAnsi="Times New Roman"/>
          <w:i/>
          <w:iCs/>
          <w:sz w:val="24"/>
          <w:szCs w:val="24"/>
          <w:lang w:eastAsia="pl-PL"/>
        </w:rPr>
        <w:t>u</w:t>
      </w:r>
      <w:r>
        <w:rPr>
          <w:rFonts w:eastAsia="Times New Roman" w:cs="Times New Roman" w:ascii="Times New Roman" w:hAnsi="Times New Roman"/>
          <w:i/>
          <w:iCs/>
          <w:spacing w:val="-2"/>
          <w:sz w:val="24"/>
          <w:szCs w:val="24"/>
          <w:lang w:eastAsia="pl-PL"/>
        </w:rPr>
        <w:t>k</w:t>
      </w:r>
      <w:r>
        <w:rPr>
          <w:rFonts w:eastAsia="Times New Roman" w:cs="Times New Roman" w:ascii="Times New Roman" w:hAnsi="Times New Roman"/>
          <w:i/>
          <w:iCs/>
          <w:sz w:val="24"/>
          <w:szCs w:val="24"/>
          <w:lang w:eastAsia="pl-PL"/>
        </w:rPr>
        <w:t xml:space="preserve">owych </w:t>
      </w:r>
      <w:r>
        <w:rPr>
          <w:rFonts w:eastAsia="Times New Roman" w:cs="Times New Roman" w:ascii="Times New Roman" w:hAnsi="Times New Roman"/>
          <w:i/>
          <w:iCs/>
          <w:spacing w:val="-2"/>
          <w:sz w:val="24"/>
          <w:szCs w:val="24"/>
          <w:lang w:eastAsia="pl-PL"/>
        </w:rPr>
        <w:t>n</w:t>
      </w:r>
      <w:r>
        <w:rPr>
          <w:rFonts w:eastAsia="Times New Roman" w:cs="Times New Roman" w:ascii="Times New Roman" w:hAnsi="Times New Roman"/>
          <w:i/>
          <w:iCs/>
          <w:sz w:val="24"/>
          <w:szCs w:val="24"/>
          <w:lang w:eastAsia="pl-PL"/>
        </w:rPr>
        <w:t>a K</w:t>
      </w:r>
      <w:r>
        <w:rPr>
          <w:rFonts w:eastAsia="Times New Roman" w:cs="Times New Roman" w:ascii="Times New Roman" w:hAnsi="Times New Roman"/>
          <w:i/>
          <w:iCs/>
          <w:spacing w:val="-2"/>
          <w:sz w:val="24"/>
          <w:szCs w:val="24"/>
          <w:lang w:eastAsia="pl-PL"/>
        </w:rPr>
        <w:t>a</w:t>
      </w:r>
      <w:r>
        <w:rPr>
          <w:rFonts w:eastAsia="Times New Roman" w:cs="Times New Roman" w:ascii="Times New Roman" w:hAnsi="Times New Roman"/>
          <w:i/>
          <w:iCs/>
          <w:sz w:val="24"/>
          <w:szCs w:val="24"/>
          <w:lang w:eastAsia="pl-PL"/>
        </w:rPr>
        <w:t xml:space="preserve">tolickim </w:t>
      </w:r>
      <w:r>
        <w:rPr>
          <w:rFonts w:eastAsia="Times New Roman" w:cs="Times New Roman" w:ascii="Times New Roman" w:hAnsi="Times New Roman"/>
          <w:i/>
          <w:iCs/>
          <w:spacing w:val="-2"/>
          <w:sz w:val="24"/>
          <w:szCs w:val="24"/>
          <w:lang w:eastAsia="pl-PL"/>
        </w:rPr>
        <w:t>Uniwersy</w:t>
      </w:r>
      <w:r>
        <w:rPr>
          <w:rFonts w:eastAsia="Times New Roman" w:cs="Times New Roman" w:ascii="Times New Roman" w:hAnsi="Times New Roman"/>
          <w:i/>
          <w:iCs/>
          <w:sz w:val="24"/>
          <w:szCs w:val="24"/>
          <w:lang w:eastAsia="pl-PL"/>
        </w:rPr>
        <w:t>t</w:t>
      </w:r>
      <w:r>
        <w:rPr>
          <w:rFonts w:eastAsia="Times New Roman" w:cs="Times New Roman" w:ascii="Times New Roman" w:hAnsi="Times New Roman"/>
          <w:i/>
          <w:iCs/>
          <w:spacing w:val="-2"/>
          <w:sz w:val="24"/>
          <w:szCs w:val="24"/>
          <w:lang w:eastAsia="pl-PL"/>
        </w:rPr>
        <w:t>eci</w:t>
      </w:r>
      <w:r>
        <w:rPr>
          <w:rFonts w:eastAsia="Times New Roman" w:cs="Times New Roman" w:ascii="Times New Roman" w:hAnsi="Times New Roman"/>
          <w:i/>
          <w:iCs/>
          <w:sz w:val="24"/>
          <w:szCs w:val="24"/>
          <w:lang w:eastAsia="pl-PL"/>
        </w:rPr>
        <w:t xml:space="preserve">e </w:t>
      </w:r>
      <w:r>
        <w:rPr>
          <w:rFonts w:eastAsia="Times New Roman" w:cs="Times New Roman" w:ascii="Times New Roman" w:hAnsi="Times New Roman"/>
          <w:i/>
          <w:iCs/>
          <w:spacing w:val="-2"/>
          <w:sz w:val="24"/>
          <w:szCs w:val="24"/>
          <w:lang w:eastAsia="pl-PL"/>
        </w:rPr>
        <w:t>L</w:t>
      </w:r>
      <w:r>
        <w:rPr>
          <w:rFonts w:eastAsia="Times New Roman" w:cs="Times New Roman" w:ascii="Times New Roman" w:hAnsi="Times New Roman"/>
          <w:i/>
          <w:iCs/>
          <w:sz w:val="24"/>
          <w:szCs w:val="24"/>
          <w:lang w:eastAsia="pl-PL"/>
        </w:rPr>
        <w:t>u</w:t>
      </w:r>
      <w:r>
        <w:rPr>
          <w:rFonts w:eastAsia="Times New Roman" w:cs="Times New Roman" w:ascii="Times New Roman" w:hAnsi="Times New Roman"/>
          <w:i/>
          <w:iCs/>
          <w:spacing w:val="-2"/>
          <w:sz w:val="24"/>
          <w:szCs w:val="24"/>
          <w:lang w:eastAsia="pl-PL"/>
        </w:rPr>
        <w:t>be</w:t>
      </w:r>
      <w:r>
        <w:rPr>
          <w:rFonts w:eastAsia="Times New Roman" w:cs="Times New Roman" w:ascii="Times New Roman" w:hAnsi="Times New Roman"/>
          <w:i/>
          <w:iCs/>
          <w:sz w:val="24"/>
          <w:szCs w:val="24"/>
          <w:lang w:eastAsia="pl-PL"/>
        </w:rPr>
        <w:t>ls</w:t>
      </w:r>
      <w:r>
        <w:rPr>
          <w:rFonts w:eastAsia="Times New Roman" w:cs="Times New Roman" w:ascii="Times New Roman" w:hAnsi="Times New Roman"/>
          <w:i/>
          <w:iCs/>
          <w:spacing w:val="-2"/>
          <w:sz w:val="24"/>
          <w:szCs w:val="24"/>
          <w:lang w:eastAsia="pl-PL"/>
        </w:rPr>
        <w:t>ki</w:t>
      </w:r>
      <w:r>
        <w:rPr>
          <w:rFonts w:eastAsia="Times New Roman" w:cs="Times New Roman" w:ascii="Times New Roman" w:hAnsi="Times New Roman"/>
          <w:i/>
          <w:iCs/>
          <w:sz w:val="24"/>
          <w:szCs w:val="24"/>
          <w:lang w:eastAsia="pl-PL"/>
        </w:rPr>
        <w:t xml:space="preserve">m </w:t>
      </w:r>
      <w:r>
        <w:rPr>
          <w:rFonts w:eastAsia="Times New Roman" w:cs="Times New Roman" w:ascii="Times New Roman" w:hAnsi="Times New Roman"/>
          <w:i/>
          <w:iCs/>
          <w:spacing w:val="-2"/>
          <w:sz w:val="24"/>
          <w:szCs w:val="24"/>
          <w:lang w:eastAsia="pl-PL"/>
        </w:rPr>
        <w:t>Jan</w:t>
      </w:r>
      <w:r>
        <w:rPr>
          <w:rFonts w:eastAsia="Times New Roman" w:cs="Times New Roman" w:ascii="Times New Roman" w:hAnsi="Times New Roman"/>
          <w:i/>
          <w:iCs/>
          <w:sz w:val="24"/>
          <w:szCs w:val="24"/>
          <w:lang w:eastAsia="pl-PL"/>
        </w:rPr>
        <w:t>a P</w:t>
      </w:r>
      <w:r>
        <w:rPr>
          <w:rFonts w:eastAsia="Times New Roman" w:cs="Times New Roman" w:ascii="Times New Roman" w:hAnsi="Times New Roman"/>
          <w:i/>
          <w:iCs/>
          <w:spacing w:val="-2"/>
          <w:sz w:val="24"/>
          <w:szCs w:val="24"/>
          <w:lang w:eastAsia="pl-PL"/>
        </w:rPr>
        <w:t>a</w:t>
      </w:r>
      <w:r>
        <w:rPr>
          <w:rFonts w:eastAsia="Times New Roman" w:cs="Times New Roman" w:ascii="Times New Roman" w:hAnsi="Times New Roman"/>
          <w:i/>
          <w:iCs/>
          <w:sz w:val="24"/>
          <w:szCs w:val="24"/>
          <w:lang w:eastAsia="pl-PL"/>
        </w:rPr>
        <w:t xml:space="preserve">wła </w:t>
      </w:r>
      <w:r>
        <w:rPr>
          <w:rFonts w:eastAsia="Times New Roman" w:cs="Times New Roman" w:ascii="Times New Roman" w:hAnsi="Times New Roman"/>
          <w:i/>
          <w:iCs/>
          <w:spacing w:val="-2"/>
          <w:sz w:val="24"/>
          <w:szCs w:val="24"/>
          <w:lang w:eastAsia="pl-PL"/>
        </w:rPr>
        <w:t>I</w:t>
      </w:r>
      <w:r>
        <w:rPr>
          <w:rFonts w:eastAsia="Times New Roman" w:cs="Times New Roman" w:ascii="Times New Roman" w:hAnsi="Times New Roman"/>
          <w:i/>
          <w:iCs/>
          <w:spacing w:val="2"/>
          <w:sz w:val="24"/>
          <w:szCs w:val="24"/>
          <w:lang w:eastAsia="pl-PL"/>
        </w:rPr>
        <w:t>I</w:t>
      </w:r>
      <w:r>
        <w:rPr>
          <w:rFonts w:eastAsia="Times New Roman" w:cs="Times New Roman" w:ascii="Times New Roman" w:hAnsi="Times New Roman"/>
          <w:spacing w:val="2"/>
          <w:sz w:val="24"/>
          <w:szCs w:val="24"/>
          <w:lang w:eastAsia="pl-PL"/>
        </w:rPr>
        <w:t>)</w:t>
      </w:r>
      <w:r>
        <w:rPr>
          <w:rFonts w:eastAsia="Times New Roman" w:cs="Times New Roman" w:ascii="Times New Roman" w:hAnsi="Times New Roman"/>
          <w:sz w:val="24"/>
          <w:szCs w:val="24"/>
          <w:lang w:eastAsia="pl-PL"/>
        </w:rPr>
        <w:t xml:space="preserve">, </w:t>
      </w:r>
    </w:p>
    <w:p>
      <w:pPr>
        <w:pStyle w:val="Normal"/>
        <w:spacing w:lineRule="auto" w:line="240" w:before="0" w:after="0"/>
        <w:ind w:left="113"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4) niniejszego Regulaminu Instytutu Literaturoznawstwa KUL</w:t>
      </w:r>
    </w:p>
    <w:p>
      <w:pPr>
        <w:pStyle w:val="Normal"/>
        <w:spacing w:lineRule="auto" w:line="240" w:before="0" w:after="0"/>
        <w:ind w:left="113" w:right="108" w:hanging="0"/>
        <w:jc w:val="both"/>
        <w:rPr>
          <w:rFonts w:ascii="Times New Roman" w:hAnsi="Times New Roman" w:eastAsia="Times New Roman" w:cs="Times New Roman"/>
          <w:sz w:val="24"/>
          <w:szCs w:val="24"/>
          <w:u w:val="single"/>
          <w:lang w:eastAsia="pl-PL"/>
        </w:rPr>
      </w:pPr>
      <w:r>
        <w:rPr>
          <w:rFonts w:eastAsia="Times New Roman" w:cs="Times New Roman" w:ascii="Times New Roman" w:hAnsi="Times New Roman"/>
          <w:sz w:val="24"/>
          <w:szCs w:val="24"/>
          <w:u w:val="single"/>
          <w:lang w:eastAsia="pl-PL"/>
        </w:rPr>
        <w:t>o</w:t>
      </w:r>
      <w:r>
        <w:rPr>
          <w:rFonts w:eastAsia="Times New Roman" w:cs="Times New Roman" w:ascii="Times New Roman" w:hAnsi="Times New Roman"/>
          <w:spacing w:val="-2"/>
          <w:sz w:val="24"/>
          <w:szCs w:val="24"/>
          <w:u w:val="single"/>
          <w:lang w:eastAsia="pl-PL"/>
        </w:rPr>
        <w:t>k</w:t>
      </w:r>
      <w:r>
        <w:rPr>
          <w:rFonts w:eastAsia="Times New Roman" w:cs="Times New Roman" w:ascii="Times New Roman" w:hAnsi="Times New Roman"/>
          <w:sz w:val="24"/>
          <w:szCs w:val="24"/>
          <w:u w:val="single"/>
          <w:lang w:eastAsia="pl-PL"/>
        </w:rPr>
        <w:t>reśla się, co następuje: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agwek2"/>
        <w:spacing w:before="0" w:after="0"/>
        <w:ind w:left="2835" w:right="301" w:firstLine="709"/>
        <w:jc w:val="left"/>
        <w:rPr>
          <w:sz w:val="24"/>
          <w:szCs w:val="24"/>
        </w:rPr>
      </w:pPr>
      <w:r>
        <w:rPr>
          <w:sz w:val="24"/>
          <w:szCs w:val="24"/>
        </w:rPr>
        <w:t>Rozdział 1. Regulacje ogólne</w:t>
      </w:r>
    </w:p>
    <w:p>
      <w:pPr>
        <w:pStyle w:val="Western"/>
        <w:ind w:left="0" w:right="0" w:hanging="0"/>
        <w:rPr>
          <w:rFonts w:ascii="Times New Roman" w:hAnsi="Times New Roman"/>
        </w:rPr>
      </w:pPr>
      <w:r>
        <w:rPr>
          <w:rFonts w:ascii="Times New Roman" w:hAnsi="Times New Roman"/>
        </w:rPr>
      </w:r>
    </w:p>
    <w:p>
      <w:pPr>
        <w:pStyle w:val="Western"/>
        <w:ind w:left="0"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1</w:t>
      </w:r>
      <w:r>
        <w:rPr>
          <w:rFonts w:ascii="Times New Roman" w:hAnsi="Times New Roman"/>
          <w:color w:val="2F5496"/>
        </w:rPr>
        <w:t>. [Zakres regulacji]</w:t>
      </w:r>
    </w:p>
    <w:p>
      <w:pPr>
        <w:pStyle w:val="Western"/>
        <w:ind w:left="0" w:right="0" w:hanging="0"/>
        <w:rPr>
          <w:rFonts w:ascii="Times New Roman" w:hAnsi="Times New Roman"/>
        </w:rPr>
      </w:pPr>
      <w:r>
        <w:rPr>
          <w:rFonts w:ascii="Times New Roman" w:hAnsi="Times New Roman"/>
        </w:rPr>
        <w:t xml:space="preserve">1. Niniejszy regulamin określa szczegółowe zasady prowadzenia postępowań doktorskich w dziedzinie nauk humanistycznych, </w:t>
      </w:r>
      <w:r>
        <w:rPr>
          <w:rFonts w:ascii="Times New Roman" w:hAnsi="Times New Roman"/>
          <w:color w:val="000000" w:themeColor="text1"/>
        </w:rPr>
        <w:t xml:space="preserve">dyscyplinie literaturoznawstwo przez Instytut Literaturoznawstwa </w:t>
      </w:r>
      <w:r>
        <w:rPr>
          <w:rFonts w:ascii="Times New Roman" w:hAnsi="Times New Roman"/>
        </w:rPr>
        <w:t>KUL (dalej –</w:t>
      </w:r>
      <w:r>
        <w:rPr>
          <w:rFonts w:ascii="Times New Roman" w:hAnsi="Times New Roman"/>
          <w:spacing w:val="-4"/>
        </w:rPr>
        <w:t xml:space="preserve"> </w:t>
      </w:r>
      <w:r>
        <w:rPr>
          <w:rFonts w:ascii="Times New Roman" w:hAnsi="Times New Roman"/>
        </w:rPr>
        <w:t>Instytut) dla postępowań, które zostały wszczęte w okresie od 1 października 2019 r. do 31 grudnia 2020 r. oraz od 1 stycznia 2021.</w:t>
      </w:r>
    </w:p>
    <w:p>
      <w:pPr>
        <w:pStyle w:val="Western"/>
        <w:ind w:left="0" w:right="0" w:hanging="0"/>
        <w:rPr>
          <w:rFonts w:ascii="Times New Roman" w:hAnsi="Times New Roman"/>
        </w:rPr>
      </w:pPr>
      <w:r>
        <w:rPr>
          <w:rFonts w:ascii="Times New Roman" w:hAnsi="Times New Roman"/>
        </w:rPr>
        <w:t xml:space="preserve">2. Osoby, które wszczęły przewody do doktorskie do 30 września </w:t>
      </w:r>
      <w:r>
        <w:rPr>
          <w:rFonts w:ascii="Times New Roman" w:hAnsi="Times New Roman"/>
          <w:smallCaps/>
        </w:rPr>
        <w:t>2</w:t>
      </w:r>
      <w:r>
        <w:rPr>
          <w:rFonts w:ascii="Times New Roman" w:hAnsi="Times New Roman"/>
        </w:rPr>
        <w:t>0</w:t>
      </w:r>
      <w:r>
        <w:rPr>
          <w:rFonts w:ascii="Times New Roman" w:hAnsi="Times New Roman"/>
          <w:smallCaps/>
        </w:rPr>
        <w:t>1</w:t>
      </w:r>
      <w:r>
        <w:rPr>
          <w:rFonts w:ascii="Times New Roman" w:hAnsi="Times New Roman"/>
        </w:rPr>
        <w:t>9 r. i nie zakończyły ich do dnia 3</w:t>
      </w:r>
      <w:r>
        <w:rPr>
          <w:rFonts w:ascii="Times New Roman" w:hAnsi="Times New Roman"/>
          <w:smallCaps/>
        </w:rPr>
        <w:t>1</w:t>
      </w:r>
      <w:r>
        <w:rPr>
          <w:rFonts w:ascii="Times New Roman" w:hAnsi="Times New Roman"/>
        </w:rPr>
        <w:t xml:space="preserve"> grudnia </w:t>
      </w:r>
      <w:r>
        <w:rPr>
          <w:rFonts w:ascii="Times New Roman" w:hAnsi="Times New Roman"/>
          <w:smallCaps/>
        </w:rPr>
        <w:t>2</w:t>
      </w:r>
      <w:r>
        <w:rPr>
          <w:rFonts w:ascii="Times New Roman" w:hAnsi="Times New Roman"/>
        </w:rPr>
        <w:t>0</w:t>
      </w:r>
      <w:r>
        <w:rPr>
          <w:rFonts w:ascii="Times New Roman" w:hAnsi="Times New Roman"/>
          <w:smallCaps/>
        </w:rPr>
        <w:t>22</w:t>
      </w:r>
      <w:r>
        <w:rPr>
          <w:rFonts w:ascii="Times New Roman" w:hAnsi="Times New Roman"/>
        </w:rPr>
        <w:t xml:space="preserve"> r., mogą ubiegać się o nadanie stopnia doktora na nowych zasadach: albo po odbyciu studiów w szkole doktorskiej, albo w trybie eksternistycznym. Przewody niezakończone nadaniem stopnia doktora do 31 grudnia 2022 zamyka się.</w:t>
      </w:r>
    </w:p>
    <w:p>
      <w:pPr>
        <w:pStyle w:val="Western"/>
        <w:ind w:left="0" w:right="0" w:hanging="0"/>
        <w:rPr>
          <w:rFonts w:ascii="Times New Roman" w:hAnsi="Times New Roman"/>
        </w:rPr>
      </w:pPr>
      <w:r>
        <w:rPr>
          <w:rFonts w:ascii="Times New Roman" w:hAnsi="Times New Roman"/>
        </w:rPr>
      </w:r>
    </w:p>
    <w:p>
      <w:pPr>
        <w:pStyle w:val="Western"/>
        <w:ind w:left="0"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2.</w:t>
      </w:r>
      <w:r>
        <w:rPr>
          <w:rFonts w:ascii="Times New Roman" w:hAnsi="Times New Roman"/>
          <w:color w:val="2F5496"/>
          <w:spacing w:val="-2"/>
        </w:rPr>
        <w:t xml:space="preserve"> </w:t>
      </w:r>
      <w:r>
        <w:rPr>
          <w:rFonts w:ascii="Times New Roman" w:hAnsi="Times New Roman"/>
          <w:color w:val="2F5496"/>
        </w:rPr>
        <w:t>[Tryby przygotowania</w:t>
      </w:r>
      <w:r>
        <w:rPr>
          <w:rFonts w:ascii="Times New Roman" w:hAnsi="Times New Roman"/>
          <w:color w:val="2F5496"/>
          <w:spacing w:val="2"/>
        </w:rPr>
        <w:t xml:space="preserve"> </w:t>
      </w:r>
      <w:r>
        <w:rPr>
          <w:rFonts w:ascii="Times New Roman" w:hAnsi="Times New Roman"/>
          <w:color w:val="2F5496"/>
        </w:rPr>
        <w:t>rozprawy]</w:t>
      </w:r>
    </w:p>
    <w:p>
      <w:pPr>
        <w:pStyle w:val="Western"/>
        <w:ind w:left="0" w:right="0" w:hanging="0"/>
        <w:rPr>
          <w:rFonts w:ascii="Times New Roman" w:hAnsi="Times New Roman"/>
        </w:rPr>
      </w:pPr>
      <w:r>
        <w:rPr>
          <w:rFonts w:ascii="Times New Roman" w:hAnsi="Times New Roman"/>
        </w:rPr>
        <w:t>Przygotowanie rozprawy doktorskiej odbywa się w trybie kształcenia</w:t>
      </w:r>
      <w:r>
        <w:rPr>
          <w:rFonts w:ascii="Times New Roman" w:hAnsi="Times New Roman"/>
          <w:spacing w:val="-2"/>
        </w:rPr>
        <w:t xml:space="preserve"> </w:t>
      </w:r>
      <w:r>
        <w:rPr>
          <w:rFonts w:ascii="Times New Roman" w:hAnsi="Times New Roman"/>
        </w:rPr>
        <w:t>doktorantów.</w:t>
      </w:r>
    </w:p>
    <w:p>
      <w:pPr>
        <w:pStyle w:val="Western"/>
        <w:ind w:left="0" w:right="0" w:hanging="0"/>
        <w:rPr>
          <w:rFonts w:ascii="Times New Roman" w:hAnsi="Times New Roman"/>
        </w:rPr>
      </w:pPr>
      <w:r>
        <w:rPr>
          <w:rFonts w:ascii="Times New Roman" w:hAnsi="Times New Roman"/>
        </w:rPr>
      </w:r>
    </w:p>
    <w:p>
      <w:pPr>
        <w:pStyle w:val="Western"/>
        <w:ind w:left="0" w:right="0" w:hanging="0"/>
        <w:rPr>
          <w:rFonts w:ascii="Times New Roman" w:hAnsi="Times New Roman"/>
        </w:rPr>
      </w:pPr>
      <w:r>
        <w:rPr>
          <w:rFonts w:ascii="Times New Roman" w:hAnsi="Times New Roman"/>
          <w:color w:val="2F5496"/>
        </w:rPr>
        <w:t>§ 3 [Opieka nad przygotowaniem rozprawy]</w:t>
      </w:r>
    </w:p>
    <w:p>
      <w:pPr>
        <w:pStyle w:val="Western"/>
        <w:ind w:left="0" w:right="0" w:hanging="0"/>
        <w:rPr>
          <w:rFonts w:ascii="Times New Roman" w:hAnsi="Times New Roman"/>
        </w:rPr>
      </w:pPr>
      <w:r>
        <w:rPr>
          <w:rFonts w:ascii="Times New Roman" w:hAnsi="Times New Roman"/>
        </w:rPr>
        <w:t>Opieka naukowa nad przygotowaniem rozprawy doktorskiej jest sprawowana przez:</w:t>
      </w:r>
    </w:p>
    <w:p>
      <w:pPr>
        <w:pStyle w:val="NormalWeb"/>
        <w:numPr>
          <w:ilvl w:val="0"/>
          <w:numId w:val="1"/>
        </w:numPr>
        <w:ind w:left="720" w:right="0" w:hanging="360"/>
        <w:rPr/>
      </w:pPr>
      <w:r>
        <w:rPr/>
        <w:t>promotora albo</w:t>
      </w:r>
    </w:p>
    <w:p>
      <w:pPr>
        <w:pStyle w:val="NormalWeb"/>
        <w:numPr>
          <w:ilvl w:val="0"/>
          <w:numId w:val="1"/>
        </w:numPr>
        <w:spacing w:beforeAutospacing="0" w:before="0" w:after="160"/>
        <w:ind w:left="720" w:right="0" w:hanging="360"/>
        <w:rPr/>
      </w:pPr>
      <w:r>
        <w:rPr/>
        <w:t>promotorów</w:t>
      </w:r>
      <w:r>
        <w:rPr>
          <w:spacing w:val="-2"/>
        </w:rPr>
        <w:t xml:space="preserve"> </w:t>
      </w:r>
      <w:r>
        <w:rPr/>
        <w:t>albo</w:t>
      </w:r>
    </w:p>
    <w:p>
      <w:pPr>
        <w:pStyle w:val="NormalWeb"/>
        <w:numPr>
          <w:ilvl w:val="0"/>
          <w:numId w:val="1"/>
        </w:numPr>
        <w:spacing w:beforeAutospacing="0" w:before="0" w:after="160"/>
        <w:ind w:left="720" w:right="0" w:hanging="360"/>
        <w:rPr/>
      </w:pPr>
      <w:r>
        <w:rPr/>
        <w:t>promotora i promotora</w:t>
      </w:r>
      <w:r>
        <w:rPr>
          <w:spacing w:val="-2"/>
        </w:rPr>
        <w:t xml:space="preserve"> </w:t>
      </w:r>
      <w:r>
        <w:rPr/>
        <w:t>pomocniczego.</w:t>
      </w:r>
    </w:p>
    <w:p>
      <w:pPr>
        <w:pStyle w:val="Western"/>
        <w:ind w:left="0" w:right="0" w:hanging="0"/>
        <w:rPr>
          <w:rFonts w:ascii="Times New Roman" w:hAnsi="Times New Roman"/>
        </w:rPr>
      </w:pPr>
      <w:r>
        <w:rPr>
          <w:rFonts w:ascii="Times New Roman" w:hAnsi="Times New Roman"/>
        </w:rPr>
      </w:r>
    </w:p>
    <w:p>
      <w:pPr>
        <w:pStyle w:val="Nagwek1"/>
        <w:spacing w:lineRule="auto" w:line="240" w:beforeAutospacing="0" w:before="0" w:after="0"/>
        <w:rPr>
          <w:rFonts w:ascii="Times New Roman" w:hAnsi="Times New Roman" w:cs="Times New Roman"/>
          <w:sz w:val="24"/>
          <w:szCs w:val="24"/>
        </w:rPr>
      </w:pPr>
      <w:r>
        <w:rPr>
          <w:rFonts w:cs="Times New Roman" w:ascii="Times New Roman" w:hAnsi="Times New Roman"/>
          <w:color w:val="2F5496"/>
          <w:sz w:val="24"/>
          <w:szCs w:val="24"/>
        </w:rPr>
        <w:t>§ 4. [Wymogi stawiane promotorom]</w:t>
      </w:r>
    </w:p>
    <w:p>
      <w:pPr>
        <w:pStyle w:val="Western"/>
        <w:ind w:left="0" w:right="0" w:hanging="0"/>
        <w:rPr>
          <w:rFonts w:ascii="Times New Roman" w:hAnsi="Times New Roman"/>
        </w:rPr>
      </w:pPr>
      <w:r>
        <w:rPr>
          <w:rFonts w:ascii="Times New Roman" w:hAnsi="Times New Roman"/>
        </w:rPr>
        <w:t>1. Promotorem może być osoba posiadająca stopień doktora habilitowanego lub tytuł</w:t>
      </w:r>
      <w:r>
        <w:rPr>
          <w:rFonts w:ascii="Times New Roman" w:hAnsi="Times New Roman"/>
          <w:spacing w:val="-2"/>
        </w:rPr>
        <w:t xml:space="preserve"> </w:t>
      </w:r>
      <w:r>
        <w:rPr>
          <w:rFonts w:ascii="Times New Roman" w:hAnsi="Times New Roman"/>
        </w:rPr>
        <w:t>profesora.</w:t>
      </w:r>
    </w:p>
    <w:p>
      <w:pPr>
        <w:pStyle w:val="Western"/>
        <w:ind w:left="0" w:right="0" w:hanging="0"/>
        <w:rPr>
          <w:rFonts w:ascii="Times New Roman" w:hAnsi="Times New Roman"/>
        </w:rPr>
      </w:pPr>
      <w:r>
        <w:rPr>
          <w:rFonts w:ascii="Times New Roman" w:hAnsi="Times New Roman"/>
        </w:rPr>
        <w:t xml:space="preserve">2. Promotorem pomocniczym może być osoba posiadająca stopień </w:t>
      </w:r>
      <w:r>
        <w:rPr>
          <w:rFonts w:ascii="Times New Roman" w:hAnsi="Times New Roman"/>
          <w:spacing w:val="-4"/>
        </w:rPr>
        <w:t xml:space="preserve">doktora. </w:t>
      </w:r>
      <w:r>
        <w:rPr>
          <w:rFonts w:ascii="Times New Roman" w:hAnsi="Times New Roman"/>
        </w:rPr>
        <w:t xml:space="preserve">Osoba powołana na funkcję promotora pomocniczego, która przed zakończeniem postępowania w sprawie nadania stopnia doktora </w:t>
      </w:r>
      <w:r>
        <w:rPr>
          <w:rFonts w:ascii="Times New Roman" w:hAnsi="Times New Roman"/>
          <w:spacing w:val="-4"/>
        </w:rPr>
        <w:t xml:space="preserve">uzyskała </w:t>
      </w:r>
      <w:r>
        <w:rPr>
          <w:rFonts w:ascii="Times New Roman" w:hAnsi="Times New Roman"/>
        </w:rPr>
        <w:t>stopień doktora habilitowanego lub tytuł profesora, może pełnić funkcję promotora pomocniczego do czasu zakończenia postępowania w sprawie nadania stopnia</w:t>
      </w:r>
      <w:r>
        <w:rPr>
          <w:rFonts w:ascii="Times New Roman" w:hAnsi="Times New Roman"/>
          <w:spacing w:val="-4"/>
        </w:rPr>
        <w:t xml:space="preserve"> </w:t>
      </w:r>
      <w:r>
        <w:rPr>
          <w:rFonts w:ascii="Times New Roman" w:hAnsi="Times New Roman"/>
        </w:rPr>
        <w:t>doktora.</w:t>
      </w:r>
    </w:p>
    <w:p>
      <w:pPr>
        <w:pStyle w:val="Western"/>
        <w:ind w:left="0" w:right="0" w:hanging="0"/>
        <w:rPr>
          <w:rFonts w:ascii="Times New Roman" w:hAnsi="Times New Roman"/>
        </w:rPr>
      </w:pPr>
      <w:r>
        <w:rPr>
          <w:rFonts w:ascii="Times New Roman" w:hAnsi="Times New Roman"/>
        </w:rPr>
        <w:t xml:space="preserve">3. Promotorem może być osoba niespełniająca warunków określonych w pkt. </w:t>
      </w:r>
      <w:r>
        <w:rPr>
          <w:rFonts w:ascii="Times New Roman" w:hAnsi="Times New Roman"/>
          <w:smallCaps/>
        </w:rPr>
        <w:t>1</w:t>
      </w:r>
      <w:r>
        <w:rPr>
          <w:rFonts w:ascii="Times New Roman" w:hAnsi="Times New Roman"/>
        </w:rPr>
        <w:t>, która jest pracownikiem zagranicznej uczelni lub instytucji naukowej, jeżeli Rada Instytutu w drodze uchwały uzna, że osoba ta posiada znaczące osiągnięcia w zakresie zagadnień naukowych, których dotyczy rozprawa doktorska.</w:t>
      </w:r>
    </w:p>
    <w:p>
      <w:pPr>
        <w:pStyle w:val="Western"/>
        <w:ind w:left="0" w:right="0" w:hanging="0"/>
        <w:rPr>
          <w:rFonts w:ascii="Times New Roman" w:hAnsi="Times New Roman"/>
        </w:rPr>
      </w:pPr>
      <w:r>
        <w:rPr>
          <w:rFonts w:ascii="Times New Roman" w:hAnsi="Times New Roman"/>
        </w:rPr>
        <w:t>4. Promotorem lub promotorem pomocniczym nie może zostać osoba,</w:t>
      </w:r>
      <w:r>
        <w:rPr>
          <w:rFonts w:ascii="Times New Roman" w:hAnsi="Times New Roman"/>
          <w:spacing w:val="-4"/>
        </w:rPr>
        <w:t xml:space="preserve"> </w:t>
      </w:r>
      <w:r>
        <w:rPr>
          <w:rFonts w:ascii="Times New Roman" w:hAnsi="Times New Roman"/>
        </w:rPr>
        <w:t>która:</w:t>
      </w:r>
    </w:p>
    <w:p>
      <w:pPr>
        <w:pStyle w:val="Western"/>
        <w:ind w:left="363" w:right="0" w:hanging="0"/>
        <w:rPr>
          <w:rFonts w:ascii="Times New Roman" w:hAnsi="Times New Roman"/>
        </w:rPr>
      </w:pPr>
      <w:r>
        <w:rPr>
          <w:rFonts w:ascii="Times New Roman" w:hAnsi="Times New Roman"/>
        </w:rPr>
        <w:t>a) w okresie ostatnich 5 lat sprawowała opiekę nad</w:t>
      </w:r>
      <w:r>
        <w:rPr>
          <w:rFonts w:ascii="Times New Roman" w:hAnsi="Times New Roman"/>
          <w:spacing w:val="-10"/>
        </w:rPr>
        <w:t xml:space="preserve"> </w:t>
      </w:r>
      <w:r>
        <w:rPr>
          <w:rFonts w:ascii="Times New Roman" w:hAnsi="Times New Roman"/>
        </w:rPr>
        <w:t>przygotowaniem ro</w:t>
      </w:r>
      <w:r>
        <w:rPr>
          <w:rFonts w:ascii="Times New Roman" w:hAnsi="Times New Roman"/>
          <w:spacing w:val="-2"/>
        </w:rPr>
        <w:t>z</w:t>
      </w:r>
      <w:r>
        <w:rPr>
          <w:rFonts w:ascii="Times New Roman" w:hAnsi="Times New Roman"/>
        </w:rPr>
        <w:t>prawy</w:t>
      </w:r>
      <w:r>
        <w:rPr>
          <w:rFonts w:ascii="Times New Roman" w:hAnsi="Times New Roman"/>
          <w:spacing w:val="2"/>
        </w:rPr>
        <w:t xml:space="preserve"> </w:t>
      </w:r>
      <w:r>
        <w:rPr>
          <w:rFonts w:ascii="Times New Roman" w:hAnsi="Times New Roman"/>
        </w:rPr>
        <w:t>pr</w:t>
      </w:r>
      <w:r>
        <w:rPr>
          <w:rFonts w:ascii="Times New Roman" w:hAnsi="Times New Roman"/>
          <w:spacing w:val="-2"/>
        </w:rPr>
        <w:t>z</w:t>
      </w:r>
      <w:r>
        <w:rPr>
          <w:rFonts w:ascii="Times New Roman" w:hAnsi="Times New Roman"/>
        </w:rPr>
        <w:t>ez</w:t>
      </w:r>
      <w:r>
        <w:rPr>
          <w:rFonts w:ascii="Times New Roman" w:hAnsi="Times New Roman"/>
          <w:spacing w:val="2"/>
        </w:rPr>
        <w:t xml:space="preserve"> </w:t>
      </w:r>
      <w:r>
        <w:rPr>
          <w:rFonts w:ascii="Times New Roman" w:hAnsi="Times New Roman"/>
        </w:rPr>
        <w:t>co</w:t>
      </w:r>
      <w:r>
        <w:rPr>
          <w:rFonts w:ascii="Times New Roman" w:hAnsi="Times New Roman"/>
          <w:spacing w:val="2"/>
        </w:rPr>
        <w:t xml:space="preserve"> </w:t>
      </w:r>
      <w:r>
        <w:rPr>
          <w:rFonts w:ascii="Times New Roman" w:hAnsi="Times New Roman"/>
        </w:rPr>
        <w:t>naj</w:t>
      </w:r>
      <w:r>
        <w:rPr>
          <w:rFonts w:ascii="Times New Roman" w:hAnsi="Times New Roman"/>
          <w:spacing w:val="-2"/>
        </w:rPr>
        <w:t>m</w:t>
      </w:r>
      <w:r>
        <w:rPr>
          <w:rFonts w:ascii="Times New Roman" w:hAnsi="Times New Roman"/>
        </w:rPr>
        <w:t>niej</w:t>
      </w:r>
      <w:r>
        <w:rPr>
          <w:rFonts w:ascii="Times New Roman" w:hAnsi="Times New Roman"/>
          <w:spacing w:val="2"/>
        </w:rPr>
        <w:t xml:space="preserve"> </w:t>
      </w:r>
    </w:p>
    <w:p>
      <w:pPr>
        <w:pStyle w:val="Western"/>
        <w:ind w:left="363" w:right="0" w:hanging="0"/>
        <w:rPr>
          <w:rFonts w:ascii="Times New Roman" w:hAnsi="Times New Roman"/>
        </w:rPr>
      </w:pPr>
      <w:r>
        <w:rPr>
          <w:rFonts w:ascii="Times New Roman" w:hAnsi="Times New Roman"/>
          <w:smallCaps/>
        </w:rPr>
        <w:t>2</w:t>
      </w:r>
      <w:r>
        <w:rPr>
          <w:rFonts w:ascii="Times New Roman" w:hAnsi="Times New Roman"/>
          <w:spacing w:val="2"/>
        </w:rPr>
        <w:t xml:space="preserve"> </w:t>
      </w:r>
      <w:r>
        <w:rPr>
          <w:rFonts w:ascii="Times New Roman" w:hAnsi="Times New Roman"/>
        </w:rPr>
        <w:t>osoby</w:t>
      </w:r>
      <w:r>
        <w:rPr>
          <w:rFonts w:ascii="Times New Roman" w:hAnsi="Times New Roman"/>
          <w:spacing w:val="2"/>
        </w:rPr>
        <w:t xml:space="preserve"> </w:t>
      </w:r>
      <w:r>
        <w:rPr>
          <w:rFonts w:ascii="Times New Roman" w:hAnsi="Times New Roman"/>
        </w:rPr>
        <w:t>ubiegające</w:t>
      </w:r>
      <w:r>
        <w:rPr>
          <w:rFonts w:ascii="Times New Roman" w:hAnsi="Times New Roman"/>
          <w:spacing w:val="2"/>
        </w:rPr>
        <w:t xml:space="preserve"> </w:t>
      </w:r>
      <w:r>
        <w:rPr>
          <w:rFonts w:ascii="Times New Roman" w:hAnsi="Times New Roman"/>
        </w:rPr>
        <w:t>się</w:t>
      </w:r>
      <w:r>
        <w:rPr>
          <w:rFonts w:ascii="Times New Roman" w:hAnsi="Times New Roman"/>
          <w:spacing w:val="2"/>
        </w:rPr>
        <w:t xml:space="preserve"> </w:t>
      </w:r>
      <w:r>
        <w:rPr>
          <w:rFonts w:ascii="Times New Roman" w:hAnsi="Times New Roman"/>
        </w:rPr>
        <w:t>o</w:t>
      </w:r>
      <w:r>
        <w:rPr>
          <w:rFonts w:ascii="Times New Roman" w:hAnsi="Times New Roman"/>
          <w:spacing w:val="2"/>
        </w:rPr>
        <w:t xml:space="preserve"> </w:t>
      </w:r>
      <w:r>
        <w:rPr>
          <w:rFonts w:ascii="Times New Roman" w:hAnsi="Times New Roman"/>
        </w:rPr>
        <w:t>stopień</w:t>
      </w:r>
      <w:r>
        <w:rPr>
          <w:rFonts w:ascii="Times New Roman" w:hAnsi="Times New Roman"/>
          <w:spacing w:val="2"/>
        </w:rPr>
        <w:t xml:space="preserve"> </w:t>
      </w:r>
      <w:r>
        <w:rPr>
          <w:rFonts w:ascii="Times New Roman" w:hAnsi="Times New Roman"/>
        </w:rPr>
        <w:t>do</w:t>
      </w:r>
      <w:r>
        <w:rPr>
          <w:rFonts w:ascii="Times New Roman" w:hAnsi="Times New Roman"/>
          <w:spacing w:val="-2"/>
        </w:rPr>
        <w:t>k</w:t>
      </w:r>
      <w:r>
        <w:rPr>
          <w:rFonts w:ascii="Times New Roman" w:hAnsi="Times New Roman"/>
        </w:rPr>
        <w:t xml:space="preserve">tora, </w:t>
      </w:r>
      <w:r>
        <w:rPr>
          <w:rFonts w:ascii="Times New Roman" w:hAnsi="Times New Roman"/>
          <w:spacing w:val="-2"/>
        </w:rPr>
        <w:t>k</w:t>
      </w:r>
      <w:r>
        <w:rPr>
          <w:rFonts w:ascii="Times New Roman" w:hAnsi="Times New Roman"/>
        </w:rPr>
        <w:t>tóre</w:t>
      </w:r>
      <w:r>
        <w:rPr>
          <w:rFonts w:ascii="Times New Roman" w:hAnsi="Times New Roman"/>
          <w:spacing w:val="20"/>
        </w:rPr>
        <w:t xml:space="preserve"> </w:t>
      </w:r>
      <w:r>
        <w:rPr>
          <w:rFonts w:ascii="Times New Roman" w:hAnsi="Times New Roman"/>
        </w:rPr>
        <w:t>nie</w:t>
      </w:r>
      <w:r>
        <w:rPr>
          <w:rFonts w:ascii="Times New Roman" w:hAnsi="Times New Roman"/>
          <w:spacing w:val="20"/>
        </w:rPr>
        <w:t xml:space="preserve"> </w:t>
      </w:r>
      <w:r>
        <w:rPr>
          <w:rFonts w:ascii="Times New Roman" w:hAnsi="Times New Roman"/>
        </w:rPr>
        <w:t>u</w:t>
      </w:r>
      <w:r>
        <w:rPr>
          <w:rFonts w:ascii="Times New Roman" w:hAnsi="Times New Roman"/>
          <w:spacing w:val="-2"/>
        </w:rPr>
        <w:t>z</w:t>
      </w:r>
      <w:r>
        <w:rPr>
          <w:rFonts w:ascii="Times New Roman" w:hAnsi="Times New Roman"/>
        </w:rPr>
        <w:t>ys</w:t>
      </w:r>
      <w:r>
        <w:rPr>
          <w:rFonts w:ascii="Times New Roman" w:hAnsi="Times New Roman"/>
          <w:spacing w:val="-2"/>
        </w:rPr>
        <w:t>k</w:t>
      </w:r>
      <w:r>
        <w:rPr>
          <w:rFonts w:ascii="Times New Roman" w:hAnsi="Times New Roman"/>
        </w:rPr>
        <w:t>ały</w:t>
      </w:r>
      <w:r>
        <w:rPr>
          <w:rFonts w:ascii="Times New Roman" w:hAnsi="Times New Roman"/>
          <w:spacing w:val="20"/>
        </w:rPr>
        <w:t xml:space="preserve"> </w:t>
      </w:r>
      <w:r>
        <w:rPr>
          <w:rFonts w:ascii="Times New Roman" w:hAnsi="Times New Roman"/>
        </w:rPr>
        <w:t>po</w:t>
      </w:r>
      <w:r>
        <w:rPr>
          <w:rFonts w:ascii="Times New Roman" w:hAnsi="Times New Roman"/>
          <w:spacing w:val="-2"/>
        </w:rPr>
        <w:t>z</w:t>
      </w:r>
      <w:r>
        <w:rPr>
          <w:rFonts w:ascii="Times New Roman" w:hAnsi="Times New Roman"/>
        </w:rPr>
        <w:t>ytywnych</w:t>
      </w:r>
      <w:r>
        <w:rPr>
          <w:rFonts w:ascii="Times New Roman" w:hAnsi="Times New Roman"/>
          <w:spacing w:val="20"/>
        </w:rPr>
        <w:t xml:space="preserve"> </w:t>
      </w:r>
      <w:r>
        <w:rPr>
          <w:rFonts w:ascii="Times New Roman" w:hAnsi="Times New Roman"/>
        </w:rPr>
        <w:t>recen</w:t>
      </w:r>
      <w:r>
        <w:rPr>
          <w:rFonts w:ascii="Times New Roman" w:hAnsi="Times New Roman"/>
          <w:spacing w:val="-2"/>
        </w:rPr>
        <w:t>z</w:t>
      </w:r>
      <w:r>
        <w:rPr>
          <w:rFonts w:ascii="Times New Roman" w:hAnsi="Times New Roman"/>
        </w:rPr>
        <w:t>ji,</w:t>
      </w:r>
      <w:r>
        <w:rPr>
          <w:rFonts w:ascii="Times New Roman" w:hAnsi="Times New Roman"/>
          <w:spacing w:val="20"/>
        </w:rPr>
        <w:t xml:space="preserve"> </w:t>
      </w:r>
      <w:r>
        <w:rPr>
          <w:rFonts w:ascii="Times New Roman" w:hAnsi="Times New Roman"/>
        </w:rPr>
        <w:t>o</w:t>
      </w:r>
      <w:r>
        <w:rPr>
          <w:rFonts w:ascii="Times New Roman" w:hAnsi="Times New Roman"/>
          <w:spacing w:val="20"/>
        </w:rPr>
        <w:t xml:space="preserve"> </w:t>
      </w:r>
      <w:r>
        <w:rPr>
          <w:rFonts w:ascii="Times New Roman" w:hAnsi="Times New Roman"/>
          <w:spacing w:val="-2"/>
        </w:rPr>
        <w:t>k</w:t>
      </w:r>
      <w:r>
        <w:rPr>
          <w:rFonts w:ascii="Times New Roman" w:hAnsi="Times New Roman"/>
        </w:rPr>
        <w:t>tórych</w:t>
      </w:r>
      <w:r>
        <w:rPr>
          <w:rFonts w:ascii="Times New Roman" w:hAnsi="Times New Roman"/>
          <w:spacing w:val="20"/>
        </w:rPr>
        <w:t xml:space="preserve"> </w:t>
      </w:r>
      <w:r>
        <w:rPr>
          <w:rFonts w:ascii="Times New Roman" w:hAnsi="Times New Roman"/>
        </w:rPr>
        <w:t>mowa</w:t>
      </w:r>
      <w:r>
        <w:rPr>
          <w:rFonts w:ascii="Times New Roman" w:hAnsi="Times New Roman"/>
          <w:spacing w:val="20"/>
        </w:rPr>
        <w:t xml:space="preserve"> </w:t>
      </w:r>
      <w:r>
        <w:rPr>
          <w:rFonts w:ascii="Times New Roman" w:hAnsi="Times New Roman"/>
        </w:rPr>
        <w:t>w</w:t>
      </w:r>
      <w:r>
        <w:rPr>
          <w:rFonts w:ascii="Times New Roman" w:hAnsi="Times New Roman"/>
          <w:spacing w:val="20"/>
        </w:rPr>
        <w:t xml:space="preserve"> </w:t>
      </w:r>
      <w:r>
        <w:rPr>
          <w:rFonts w:ascii="Times New Roman" w:hAnsi="Times New Roman"/>
        </w:rPr>
        <w:t>art.</w:t>
      </w:r>
      <w:r>
        <w:rPr>
          <w:rFonts w:ascii="Times New Roman" w:hAnsi="Times New Roman"/>
          <w:spacing w:val="20"/>
        </w:rPr>
        <w:t xml:space="preserve"> </w:t>
      </w:r>
      <w:r>
        <w:rPr>
          <w:rFonts w:ascii="Times New Roman" w:hAnsi="Times New Roman"/>
          <w:smallCaps/>
          <w:spacing w:val="-4"/>
        </w:rPr>
        <w:t>1</w:t>
      </w:r>
      <w:r>
        <w:rPr>
          <w:rFonts w:ascii="Times New Roman" w:hAnsi="Times New Roman"/>
          <w:spacing w:val="-4"/>
        </w:rPr>
        <w:t>9</w:t>
      </w:r>
      <w:r>
        <w:rPr>
          <w:rFonts w:ascii="Times New Roman" w:hAnsi="Times New Roman"/>
          <w:smallCaps/>
          <w:spacing w:val="-4"/>
        </w:rPr>
        <w:t>1</w:t>
      </w:r>
      <w:r>
        <w:rPr>
          <w:rFonts w:ascii="Times New Roman" w:hAnsi="Times New Roman"/>
        </w:rPr>
        <w:t xml:space="preserve"> ust. </w:t>
      </w:r>
      <w:r>
        <w:rPr>
          <w:rFonts w:ascii="Times New Roman" w:hAnsi="Times New Roman"/>
          <w:smallCaps/>
        </w:rPr>
        <w:t>1</w:t>
      </w:r>
      <w:r>
        <w:rPr>
          <w:rFonts w:ascii="Times New Roman" w:hAnsi="Times New Roman"/>
        </w:rPr>
        <w:t xml:space="preserve"> U</w:t>
      </w:r>
      <w:r>
        <w:rPr>
          <w:rFonts w:ascii="Times New Roman" w:hAnsi="Times New Roman"/>
          <w:spacing w:val="-2"/>
        </w:rPr>
        <w:t>s</w:t>
      </w:r>
      <w:r>
        <w:rPr>
          <w:rFonts w:ascii="Times New Roman" w:hAnsi="Times New Roman"/>
        </w:rPr>
        <w:t>t</w:t>
      </w:r>
      <w:r>
        <w:rPr>
          <w:rFonts w:ascii="Times New Roman" w:hAnsi="Times New Roman"/>
          <w:spacing w:val="-2"/>
        </w:rPr>
        <w:t>a</w:t>
      </w:r>
      <w:r>
        <w:rPr>
          <w:rFonts w:ascii="Times New Roman" w:hAnsi="Times New Roman"/>
        </w:rPr>
        <w:t xml:space="preserve">wy </w:t>
      </w:r>
      <w:r>
        <w:rPr>
          <w:rFonts w:ascii="Times New Roman" w:hAnsi="Times New Roman"/>
          <w:i/>
          <w:iCs/>
        </w:rPr>
        <w:t>Prawo o szkolnictwie wyższym</w:t>
      </w:r>
      <w:r>
        <w:rPr>
          <w:rFonts w:ascii="Times New Roman" w:hAnsi="Times New Roman"/>
        </w:rPr>
        <w:t xml:space="preserve">, </w:t>
      </w:r>
      <w:r>
        <w:rPr>
          <w:rFonts w:ascii="Times New Roman" w:hAnsi="Times New Roman"/>
          <w:spacing w:val="-2"/>
        </w:rPr>
        <w:t>l</w:t>
      </w:r>
      <w:r>
        <w:rPr>
          <w:rFonts w:ascii="Times New Roman" w:hAnsi="Times New Roman"/>
        </w:rPr>
        <w:t>ub</w:t>
      </w:r>
    </w:p>
    <w:p>
      <w:pPr>
        <w:pStyle w:val="Western"/>
        <w:ind w:left="363" w:right="0" w:hanging="0"/>
        <w:rPr>
          <w:rFonts w:ascii="Times New Roman" w:hAnsi="Times New Roman"/>
        </w:rPr>
      </w:pPr>
      <w:r>
        <w:rPr>
          <w:rFonts w:ascii="Times New Roman" w:hAnsi="Times New Roman"/>
        </w:rPr>
        <w:t xml:space="preserve">b) została ukarana karą dyscyplinarną pozbawienia prawa </w:t>
      </w:r>
      <w:r>
        <w:rPr>
          <w:rFonts w:ascii="Times New Roman" w:hAnsi="Times New Roman"/>
          <w:spacing w:val="-6"/>
        </w:rPr>
        <w:t xml:space="preserve">do </w:t>
      </w:r>
      <w:r>
        <w:rPr>
          <w:rFonts w:ascii="Times New Roman" w:hAnsi="Times New Roman"/>
        </w:rPr>
        <w:t xml:space="preserve">wykonywania zadań promotora, o której mowa w art. </w:t>
      </w:r>
      <w:r>
        <w:rPr>
          <w:rFonts w:ascii="Times New Roman" w:hAnsi="Times New Roman"/>
          <w:smallCaps/>
        </w:rPr>
        <w:t>2</w:t>
      </w:r>
      <w:r>
        <w:rPr>
          <w:rFonts w:ascii="Times New Roman" w:hAnsi="Times New Roman"/>
        </w:rPr>
        <w:t xml:space="preserve">76 ust. </w:t>
      </w:r>
      <w:r>
        <w:rPr>
          <w:rFonts w:ascii="Times New Roman" w:hAnsi="Times New Roman"/>
          <w:smallCaps/>
        </w:rPr>
        <w:t>1</w:t>
      </w:r>
      <w:r>
        <w:rPr>
          <w:rFonts w:ascii="Times New Roman" w:hAnsi="Times New Roman"/>
        </w:rPr>
        <w:t xml:space="preserve"> pkt 4 Ustawy – w okresie trwania tej</w:t>
      </w:r>
      <w:r>
        <w:rPr>
          <w:rFonts w:ascii="Times New Roman" w:hAnsi="Times New Roman"/>
          <w:spacing w:val="-12"/>
        </w:rPr>
        <w:t xml:space="preserve"> </w:t>
      </w:r>
      <w:r>
        <w:rPr>
          <w:rFonts w:ascii="Times New Roman" w:hAnsi="Times New Roman"/>
        </w:rPr>
        <w:t>kary.</w:t>
      </w:r>
    </w:p>
    <w:p>
      <w:pPr>
        <w:pStyle w:val="Western"/>
        <w:rPr>
          <w:rFonts w:ascii="Times New Roman" w:hAnsi="Times New Roman"/>
        </w:rPr>
      </w:pPr>
      <w:r>
        <w:rPr>
          <w:rFonts w:ascii="Times New Roman" w:hAnsi="Times New Roman"/>
        </w:rPr>
        <w:t>5. Pracownicy KUL pełniący funkcję promotora poza uczelnią są zobowiązani do niezwłocznego informowania Rektora KUL oraz Dyrektora Instytutu o wszelkich okolicznościach mających wpływ na prawo do pełnienia funkcji promotora, a w szczególności dotyczących przypadków wskazanych w pkt.</w:t>
      </w:r>
      <w:r>
        <w:rPr>
          <w:rFonts w:ascii="Times New Roman" w:hAnsi="Times New Roman"/>
          <w:spacing w:val="-6"/>
        </w:rPr>
        <w:t xml:space="preserve"> </w:t>
      </w:r>
      <w:r>
        <w:rPr>
          <w:rFonts w:ascii="Times New Roman" w:hAnsi="Times New Roman"/>
        </w:rPr>
        <w:t>4.</w:t>
      </w:r>
    </w:p>
    <w:p>
      <w:pPr>
        <w:pStyle w:val="Western"/>
        <w:ind w:left="0" w:right="108" w:hanging="0"/>
        <w:rPr>
          <w:rFonts w:ascii="Times New Roman" w:hAnsi="Times New Roman"/>
        </w:rPr>
      </w:pPr>
      <w:r>
        <w:rPr>
          <w:rFonts w:ascii="Times New Roman" w:hAnsi="Times New Roman"/>
        </w:rPr>
      </w:r>
    </w:p>
    <w:p>
      <w:pPr>
        <w:pStyle w:val="Western"/>
        <w:ind w:left="0" w:right="108" w:hanging="0"/>
        <w:rPr>
          <w:rFonts w:ascii="Times New Roman" w:hAnsi="Times New Roman"/>
        </w:rPr>
      </w:pPr>
      <w:r>
        <w:rPr>
          <w:rFonts w:ascii="Times New Roman" w:hAnsi="Times New Roman"/>
          <w:color w:val="2F5496"/>
        </w:rPr>
        <w:t>§ 5. [Powoływanie promotorów]</w:t>
      </w:r>
    </w:p>
    <w:p>
      <w:pPr>
        <w:pStyle w:val="Western"/>
        <w:ind w:left="113" w:right="448" w:hanging="0"/>
        <w:rPr>
          <w:rFonts w:ascii="Times New Roman" w:hAnsi="Times New Roman"/>
        </w:rPr>
      </w:pPr>
      <w:r>
        <w:rPr>
          <w:rFonts w:ascii="Times New Roman" w:hAnsi="Times New Roman"/>
        </w:rPr>
        <w:t>Promotora/ promotorów wyznacza na wniosek osoby ubiegającej się (doktoranta) o nadanie stopnia naukowego</w:t>
      </w:r>
      <w:r>
        <w:rPr>
          <w:rFonts w:ascii="Times New Roman" w:hAnsi="Times New Roman"/>
          <w:spacing w:val="-2"/>
        </w:rPr>
        <w:t xml:space="preserve"> </w:t>
      </w:r>
      <w:r>
        <w:rPr>
          <w:rFonts w:ascii="Times New Roman" w:hAnsi="Times New Roman"/>
        </w:rPr>
        <w:t>Rada Instytutu po zaopiniowaniu wniosku kandydata przez Komisję oceniającą.</w:t>
      </w:r>
    </w:p>
    <w:p>
      <w:pPr>
        <w:pStyle w:val="Western"/>
        <w:ind w:left="0" w:right="448" w:hanging="0"/>
        <w:rPr>
          <w:rFonts w:ascii="Times New Roman" w:hAnsi="Times New Roman"/>
        </w:rPr>
      </w:pPr>
      <w:r>
        <w:rPr>
          <w:rFonts w:ascii="Times New Roman" w:hAnsi="Times New Roman"/>
        </w:rPr>
      </w:r>
    </w:p>
    <w:p>
      <w:pPr>
        <w:pStyle w:val="Western"/>
        <w:ind w:left="0" w:right="448" w:hanging="0"/>
        <w:rPr>
          <w:rFonts w:ascii="Times New Roman" w:hAnsi="Times New Roman"/>
        </w:rPr>
      </w:pPr>
      <w:r>
        <w:rPr>
          <w:rFonts w:ascii="Times New Roman" w:hAnsi="Times New Roman"/>
          <w:color w:val="2F5496"/>
        </w:rPr>
        <w:t>§ 6. [Wymogi nadania stopnia doktora]</w:t>
      </w:r>
    </w:p>
    <w:p>
      <w:pPr>
        <w:pStyle w:val="NormalWeb"/>
        <w:ind w:left="0" w:right="0" w:hanging="0"/>
        <w:rPr/>
      </w:pPr>
      <w:r>
        <w:rPr/>
        <w:t>1. Stopień doktora nadaje się osobie,</w:t>
      </w:r>
      <w:r>
        <w:rPr>
          <w:spacing w:val="-2"/>
        </w:rPr>
        <w:t xml:space="preserve"> </w:t>
      </w:r>
      <w:r>
        <w:rPr/>
        <w:t>która:</w:t>
      </w:r>
    </w:p>
    <w:p>
      <w:pPr>
        <w:pStyle w:val="NormalWeb"/>
        <w:ind w:left="113" w:right="108" w:firstLine="595"/>
        <w:rPr/>
      </w:pPr>
      <w:r>
        <w:rPr/>
        <w:t xml:space="preserve">a) posiada tytuł zawodowy magistra, magistra inżyniera albo równorzędny </w:t>
      </w:r>
      <w:r>
        <w:rPr>
          <w:spacing w:val="-4"/>
        </w:rPr>
        <w:t>lub</w:t>
      </w:r>
      <w:r>
        <w:rPr>
          <w:spacing w:val="50"/>
        </w:rPr>
        <w:t xml:space="preserve"> </w:t>
      </w:r>
      <w:r>
        <w:rPr/>
        <w:t xml:space="preserve">posiada </w:t>
      </w:r>
    </w:p>
    <w:p>
      <w:pPr>
        <w:pStyle w:val="NormalWeb"/>
        <w:ind w:left="708" w:right="108" w:hanging="0"/>
        <w:rPr/>
      </w:pPr>
      <w:r>
        <w:rPr/>
        <w:t xml:space="preserve">dyplom, o którym mowa w art. </w:t>
      </w:r>
      <w:r>
        <w:rPr>
          <w:smallCaps/>
        </w:rPr>
        <w:t>326</w:t>
      </w:r>
      <w:r>
        <w:rPr/>
        <w:t xml:space="preserve"> ust. </w:t>
      </w:r>
      <w:r>
        <w:rPr>
          <w:smallCaps/>
        </w:rPr>
        <w:t>2</w:t>
      </w:r>
      <w:r>
        <w:rPr/>
        <w:t xml:space="preserve"> pkt </w:t>
      </w:r>
      <w:r>
        <w:rPr>
          <w:smallCaps/>
        </w:rPr>
        <w:t>2</w:t>
      </w:r>
      <w:r>
        <w:rPr/>
        <w:t xml:space="preserve"> lub art. </w:t>
      </w:r>
      <w:r>
        <w:rPr>
          <w:smallCaps/>
        </w:rPr>
        <w:t>327</w:t>
      </w:r>
      <w:r>
        <w:rPr/>
        <w:t xml:space="preserve"> ust. </w:t>
      </w:r>
      <w:r>
        <w:rPr>
          <w:smallCaps/>
        </w:rPr>
        <w:t>2</w:t>
      </w:r>
      <w:r>
        <w:rPr/>
        <w:t xml:space="preserve"> Ustawy, dający prawo do ubiegania się o nadanie stopnia doktora w państwie, w którego systemie szkolnictwa wyższego działa uczelnia, która go</w:t>
      </w:r>
      <w:r>
        <w:rPr>
          <w:spacing w:val="-6"/>
        </w:rPr>
        <w:t xml:space="preserve"> </w:t>
      </w:r>
      <w:r>
        <w:rPr/>
        <w:t>wydała;</w:t>
      </w:r>
    </w:p>
    <w:p>
      <w:pPr>
        <w:pStyle w:val="NormalWeb"/>
        <w:ind w:left="113" w:right="108" w:firstLine="595"/>
        <w:rPr/>
      </w:pPr>
      <w:r>
        <w:rPr/>
        <w:t>b) uzyskała efekty uczenia się dla kwalifikacji na poziomie 8. Polskiej Ramy Kwalifikacji,</w:t>
      </w:r>
    </w:p>
    <w:p>
      <w:pPr>
        <w:pStyle w:val="NormalWeb"/>
        <w:ind w:left="708" w:right="108" w:hanging="0"/>
        <w:rPr/>
      </w:pPr>
      <w:r>
        <w:rPr/>
        <w:t>przy czym efekty uczenia się w zakresie znajomości nowożytnego języka obcego są potwierdzone certyfikatem lub dyplomem ukończenia studiów, poświadczającymi znajomość tego języka na poziomie biegłości językowej co najmniej</w:t>
      </w:r>
      <w:r>
        <w:rPr>
          <w:spacing w:val="-2"/>
        </w:rPr>
        <w:t xml:space="preserve"> </w:t>
      </w:r>
      <w:r>
        <w:rPr/>
        <w:t>B</w:t>
      </w:r>
      <w:r>
        <w:rPr>
          <w:smallCaps/>
        </w:rPr>
        <w:t>2</w:t>
      </w:r>
      <w:r>
        <w:rPr/>
        <w:t>.</w:t>
      </w:r>
    </w:p>
    <w:p>
      <w:pPr>
        <w:pStyle w:val="NormalWeb"/>
        <w:ind w:left="708" w:right="108" w:hanging="0"/>
        <w:rPr/>
      </w:pPr>
      <w:r>
        <w:rPr/>
        <w:t xml:space="preserve">W przypadku osób, które rozpoczęły studia doktoranckie przed rokiem akademickim </w:t>
      </w:r>
      <w:r>
        <w:rPr>
          <w:smallCaps/>
        </w:rPr>
        <w:t>2</w:t>
      </w:r>
      <w:r>
        <w:rPr/>
        <w:t>0</w:t>
      </w:r>
      <w:r>
        <w:rPr>
          <w:smallCaps/>
        </w:rPr>
        <w:t>1</w:t>
      </w:r>
      <w:r>
        <w:rPr/>
        <w:t>9/</w:t>
      </w:r>
      <w:r>
        <w:rPr>
          <w:smallCaps/>
        </w:rPr>
        <w:t>2</w:t>
      </w:r>
      <w:r>
        <w:rPr/>
        <w:t>0</w:t>
      </w:r>
      <w:r>
        <w:rPr>
          <w:smallCaps/>
        </w:rPr>
        <w:t>2</w:t>
      </w:r>
      <w:r>
        <w:rPr/>
        <w:t>0  i ubiegają się o nadanie stopnia doktora na zasadach określonych w Ustawie , efekty uczenia się w zakresie znajomości nowożytnego języka obcego są potwierdzane na zasadach dotychczasowych, czyli w przypadku braku takich poświadczeń kandydat jest zobligowany do zdania egzaminu z języka obcego nowożytnego przed instytutową komisją egzaminacyjną ds. języków obcych dla doktorantów (po wyznaczeniu promotora przez Radę Instytutu);</w:t>
      </w:r>
    </w:p>
    <w:p>
      <w:pPr>
        <w:pStyle w:val="NormalWeb"/>
        <w:numPr>
          <w:ilvl w:val="0"/>
          <w:numId w:val="5"/>
        </w:numPr>
        <w:rPr/>
      </w:pPr>
      <w:r>
        <w:rPr/>
        <w:t>posiada w dorobku co</w:t>
      </w:r>
      <w:r>
        <w:rPr>
          <w:spacing w:val="-2"/>
        </w:rPr>
        <w:t xml:space="preserve"> </w:t>
      </w:r>
      <w:r>
        <w:rPr/>
        <w:t>najmniej:</w:t>
      </w:r>
    </w:p>
    <w:tbl>
      <w:tblPr>
        <w:tblW w:w="8504"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4251"/>
        <w:gridCol w:w="4252"/>
      </w:tblGrid>
      <w:tr>
        <w:trPr/>
        <w:tc>
          <w:tcPr>
            <w:tcW w:w="4251" w:type="dxa"/>
            <w:tcBorders>
              <w:top w:val="single" w:sz="6" w:space="0" w:color="000000"/>
              <w:left w:val="single" w:sz="6" w:space="0" w:color="000000"/>
              <w:bottom w:val="single" w:sz="6" w:space="0" w:color="000000"/>
              <w:right w:val="single" w:sz="6" w:space="0" w:color="000000"/>
            </w:tcBorders>
          </w:tcPr>
          <w:p>
            <w:pPr>
              <w:pStyle w:val="Western"/>
              <w:widowControl w:val="false"/>
              <w:spacing w:beforeAutospacing="0" w:before="280" w:after="0"/>
              <w:ind w:left="0" w:right="0" w:hanging="0"/>
              <w:rPr>
                <w:rFonts w:ascii="Times New Roman" w:hAnsi="Times New Roman"/>
              </w:rPr>
            </w:pPr>
            <w:r>
              <w:rPr>
                <w:rFonts w:ascii="Times New Roman" w:hAnsi="Times New Roman"/>
              </w:rPr>
              <w:t xml:space="preserve">Wszczęcie postępowania: </w:t>
            </w:r>
          </w:p>
          <w:p>
            <w:pPr>
              <w:pStyle w:val="Western"/>
              <w:widowControl w:val="false"/>
              <w:ind w:left="0" w:right="0" w:hanging="0"/>
              <w:rPr>
                <w:rFonts w:ascii="Times New Roman" w:hAnsi="Times New Roman"/>
              </w:rPr>
            </w:pPr>
            <w:r>
              <w:rPr>
                <w:rFonts w:ascii="Times New Roman" w:hAnsi="Times New Roman"/>
              </w:rPr>
              <w:t>1 października 2019 – 31 grudnia 2020</w:t>
            </w:r>
          </w:p>
        </w:tc>
        <w:tc>
          <w:tcPr>
            <w:tcW w:w="4252" w:type="dxa"/>
            <w:tcBorders>
              <w:top w:val="single" w:sz="6" w:space="0" w:color="000000"/>
              <w:left w:val="single" w:sz="6" w:space="0" w:color="000000"/>
              <w:bottom w:val="single" w:sz="6" w:space="0" w:color="000000"/>
              <w:right w:val="single" w:sz="6" w:space="0" w:color="000000"/>
            </w:tcBorders>
          </w:tcPr>
          <w:p>
            <w:pPr>
              <w:pStyle w:val="Western"/>
              <w:widowControl w:val="false"/>
              <w:spacing w:beforeAutospacing="0" w:before="280" w:after="0"/>
              <w:ind w:left="0" w:right="0" w:hanging="0"/>
              <w:rPr>
                <w:rFonts w:ascii="Times New Roman" w:hAnsi="Times New Roman"/>
              </w:rPr>
            </w:pPr>
            <w:r>
              <w:rPr>
                <w:rFonts w:ascii="Times New Roman" w:hAnsi="Times New Roman"/>
              </w:rPr>
              <w:t xml:space="preserve">Wszczęcie postępowania </w:t>
            </w:r>
          </w:p>
          <w:p>
            <w:pPr>
              <w:pStyle w:val="Western"/>
              <w:widowControl w:val="false"/>
              <w:ind w:left="0" w:right="0" w:hanging="0"/>
              <w:rPr>
                <w:rFonts w:ascii="Times New Roman" w:hAnsi="Times New Roman"/>
              </w:rPr>
            </w:pPr>
            <w:r>
              <w:rPr>
                <w:rFonts w:ascii="Times New Roman" w:hAnsi="Times New Roman"/>
              </w:rPr>
              <w:t>od 1 stycznia 2021</w:t>
            </w:r>
          </w:p>
        </w:tc>
      </w:tr>
      <w:tr>
        <w:trPr/>
        <w:tc>
          <w:tcPr>
            <w:tcW w:w="4251" w:type="dxa"/>
            <w:tcBorders>
              <w:top w:val="single" w:sz="6" w:space="0" w:color="000000"/>
              <w:left w:val="single" w:sz="6" w:space="0" w:color="000000"/>
              <w:bottom w:val="single" w:sz="6" w:space="0" w:color="000000"/>
              <w:right w:val="single" w:sz="6" w:space="0" w:color="000000"/>
            </w:tcBorders>
          </w:tcPr>
          <w:p>
            <w:pPr>
              <w:pStyle w:val="Western"/>
              <w:widowControl w:val="false"/>
              <w:spacing w:beforeAutospacing="0" w:before="280" w:after="0"/>
              <w:ind w:left="0" w:right="0" w:hanging="0"/>
              <w:rPr>
                <w:rFonts w:ascii="Times New Roman" w:hAnsi="Times New Roman"/>
              </w:rPr>
            </w:pPr>
            <w:r>
              <w:rPr>
                <w:rFonts w:ascii="Times New Roman" w:hAnsi="Times New Roman"/>
              </w:rPr>
              <w:t xml:space="preserve">a) </w:t>
            </w:r>
            <w:r>
              <w:rPr>
                <w:rFonts w:ascii="Times New Roman" w:hAnsi="Times New Roman"/>
                <w:u w:val="single"/>
              </w:rPr>
              <w:t>1 artykuł naukowy</w:t>
            </w:r>
            <w:r>
              <w:rPr>
                <w:rFonts w:ascii="Times New Roman" w:hAnsi="Times New Roman"/>
              </w:rPr>
              <w:t xml:space="preserve"> opublikowany w czasopiśmie naukowym lub w recenzowanych materiałach z konferencji międzynarodowej, ujętych w nowym wykazie MNiSW, sporządzonym zgodnie z rozporządzeniem z 7 listopada 2018 r. w sprawie sporządzania wykazów wydawnictw monografii naukowych oraz czasopism naukowych, </w:t>
            </w:r>
            <w:r>
              <w:rPr>
                <w:rFonts w:ascii="Times New Roman" w:hAnsi="Times New Roman"/>
                <w:u w:val="single"/>
              </w:rPr>
              <w:t xml:space="preserve">lub </w:t>
            </w:r>
          </w:p>
          <w:p>
            <w:pPr>
              <w:pStyle w:val="Western"/>
              <w:widowControl w:val="false"/>
              <w:ind w:left="0" w:right="0" w:hanging="0"/>
              <w:rPr>
                <w:rFonts w:ascii="Times New Roman" w:hAnsi="Times New Roman"/>
              </w:rPr>
            </w:pPr>
            <w:r>
              <w:rPr>
                <w:rFonts w:ascii="Times New Roman" w:hAnsi="Times New Roman"/>
              </w:rPr>
              <w:t xml:space="preserve">b) 1 </w:t>
            </w:r>
            <w:r>
              <w:rPr>
                <w:rFonts w:ascii="Times New Roman" w:hAnsi="Times New Roman"/>
                <w:u w:val="single"/>
              </w:rPr>
              <w:t>monografię</w:t>
            </w:r>
            <w:r>
              <w:rPr>
                <w:rFonts w:ascii="Times New Roman" w:hAnsi="Times New Roman"/>
              </w:rPr>
              <w:t xml:space="preserve"> naukową wydaną przez wydawnictwo ujęte w wykazie MNiSW sporządzonym zgodnie z w/w rozporządzeniem, albo </w:t>
            </w:r>
            <w:r>
              <w:rPr>
                <w:rFonts w:ascii="Times New Roman" w:hAnsi="Times New Roman"/>
                <w:u w:val="single"/>
              </w:rPr>
              <w:t>rozdział w takiej monografii</w:t>
            </w:r>
            <w:r>
              <w:rPr>
                <w:rFonts w:ascii="Times New Roman" w:hAnsi="Times New Roman"/>
              </w:rPr>
              <w:t xml:space="preserve">, </w:t>
            </w:r>
            <w:r>
              <w:rPr>
                <w:rFonts w:ascii="Times New Roman" w:hAnsi="Times New Roman"/>
                <w:u w:val="single"/>
              </w:rPr>
              <w:t>lub</w:t>
            </w:r>
            <w:r>
              <w:rPr>
                <w:rFonts w:ascii="Times New Roman" w:hAnsi="Times New Roman"/>
              </w:rPr>
              <w:t xml:space="preserve"> </w:t>
            </w:r>
          </w:p>
          <w:p>
            <w:pPr>
              <w:pStyle w:val="Western"/>
              <w:widowControl w:val="false"/>
              <w:ind w:left="0" w:right="0" w:hanging="0"/>
              <w:rPr>
                <w:rFonts w:ascii="Times New Roman" w:hAnsi="Times New Roman"/>
              </w:rPr>
            </w:pPr>
            <w:r>
              <w:rPr>
                <w:rFonts w:ascii="Times New Roman" w:hAnsi="Times New Roman"/>
              </w:rPr>
              <w:t xml:space="preserve">c) </w:t>
            </w:r>
            <w:r>
              <w:rPr>
                <w:rFonts w:ascii="Times New Roman" w:hAnsi="Times New Roman"/>
                <w:u w:val="single"/>
              </w:rPr>
              <w:t>artykuł</w:t>
            </w:r>
            <w:r>
              <w:rPr>
                <w:rFonts w:ascii="Times New Roman" w:hAnsi="Times New Roman"/>
              </w:rPr>
              <w:t xml:space="preserve"> naukowy </w:t>
            </w:r>
            <w:r>
              <w:rPr>
                <w:rFonts w:ascii="Times New Roman" w:hAnsi="Times New Roman"/>
                <w:b/>
                <w:bCs/>
              </w:rPr>
              <w:t>opublikowany przed 1 stycznia 2019</w:t>
            </w:r>
            <w:r>
              <w:rPr>
                <w:rFonts w:ascii="Times New Roman" w:hAnsi="Times New Roman"/>
              </w:rPr>
              <w:t xml:space="preserve"> w czasopismach, które były ujęte w części A albo C starego wykazu czasopism (komunikat MNiSW z 25 stycznia 2017 r.), albo w części B tego wykazu, przy czym artykułom w nich opublikowanym przyznanych było co najmniej 10 pkt. </w:t>
            </w:r>
          </w:p>
        </w:tc>
        <w:tc>
          <w:tcPr>
            <w:tcW w:w="4252" w:type="dxa"/>
            <w:tcBorders>
              <w:top w:val="single" w:sz="6" w:space="0" w:color="000000"/>
              <w:left w:val="single" w:sz="6" w:space="0" w:color="000000"/>
              <w:bottom w:val="single" w:sz="6" w:space="0" w:color="000000"/>
              <w:right w:val="single" w:sz="6" w:space="0" w:color="000000"/>
            </w:tcBorders>
          </w:tcPr>
          <w:p>
            <w:pPr>
              <w:pStyle w:val="Western"/>
              <w:widowControl w:val="false"/>
              <w:spacing w:beforeAutospacing="0" w:before="280" w:after="0"/>
              <w:ind w:left="0" w:right="0" w:hanging="0"/>
              <w:rPr>
                <w:rFonts w:ascii="Times New Roman" w:hAnsi="Times New Roman"/>
              </w:rPr>
            </w:pPr>
            <w:r>
              <w:rPr>
                <w:rFonts w:ascii="Times New Roman" w:hAnsi="Times New Roman"/>
              </w:rPr>
              <w:t xml:space="preserve">a) 1 artykuł naukowy opublikowany w czasopiśmie naukowym lub w recenzowanych materiałach z konferencji międzynarodowej, które </w:t>
            </w:r>
            <w:r>
              <w:rPr>
                <w:rFonts w:ascii="Times New Roman" w:hAnsi="Times New Roman"/>
                <w:b/>
                <w:bCs/>
              </w:rPr>
              <w:t xml:space="preserve">w roku opublikowania artykułu </w:t>
            </w:r>
            <w:r>
              <w:rPr>
                <w:rFonts w:ascii="Times New Roman" w:hAnsi="Times New Roman"/>
              </w:rPr>
              <w:t xml:space="preserve">w ostatecznej formie były ujęte w wykazie MNiSW sporządzonym zgodnie z rozporządzeniem z 7 listopada 2018 r. w sprawie sporządzania wykazów wydawnictw monografii naukowych oraz czasopism naukowych, </w:t>
            </w:r>
            <w:r>
              <w:rPr>
                <w:rFonts w:ascii="Times New Roman" w:hAnsi="Times New Roman"/>
                <w:u w:val="single"/>
              </w:rPr>
              <w:t>lub</w:t>
            </w:r>
            <w:r>
              <w:rPr>
                <w:rFonts w:ascii="Times New Roman" w:hAnsi="Times New Roman"/>
              </w:rPr>
              <w:t xml:space="preserve"> b) 1 monografię naukową wydaną przez wydawnictwo, </w:t>
            </w:r>
            <w:r>
              <w:rPr>
                <w:rFonts w:ascii="Times New Roman" w:hAnsi="Times New Roman"/>
                <w:b/>
                <w:bCs/>
              </w:rPr>
              <w:t xml:space="preserve">które w roku opublikowania monografii </w:t>
            </w:r>
            <w:r>
              <w:rPr>
                <w:rFonts w:ascii="Times New Roman" w:hAnsi="Times New Roman"/>
              </w:rPr>
              <w:t xml:space="preserve">w ostatecznej formie było ujęte w wykazie wydawnictw zgodnie z w/w rozporządzeniem, albo </w:t>
            </w:r>
            <w:r>
              <w:rPr>
                <w:rFonts w:ascii="Times New Roman" w:hAnsi="Times New Roman"/>
                <w:u w:val="single"/>
              </w:rPr>
              <w:t>rozdział w takiej monografii.</w:t>
            </w:r>
          </w:p>
        </w:tc>
      </w:tr>
    </w:tbl>
    <w:p>
      <w:pPr>
        <w:pStyle w:val="NormalWeb"/>
        <w:ind w:left="1083" w:right="0" w:hanging="0"/>
        <w:rPr/>
      </w:pPr>
      <w:r>
        <w:rPr/>
      </w:r>
    </w:p>
    <w:p>
      <w:pPr>
        <w:pStyle w:val="NormalWeb"/>
        <w:numPr>
          <w:ilvl w:val="0"/>
          <w:numId w:val="5"/>
        </w:numPr>
        <w:rPr/>
      </w:pPr>
      <w:r>
        <w:rPr/>
        <w:t>przedstawiła i obroniła rozprawę</w:t>
      </w:r>
      <w:r>
        <w:rPr>
          <w:spacing w:val="-2"/>
        </w:rPr>
        <w:t xml:space="preserve"> </w:t>
      </w:r>
      <w:r>
        <w:rPr/>
        <w:t>doktorską.</w:t>
      </w:r>
    </w:p>
    <w:p>
      <w:pPr>
        <w:pStyle w:val="NormalWeb"/>
        <w:rPr/>
      </w:pPr>
      <w:r>
        <w:rPr/>
        <w:t>2. Weryfikacji spełnienia wymagań dotyczących minimalnego dorobku naukowego w przypadku publikacji wieloautorskich dokonuje się, stosując odpowiednio zasady uwzględniania współautorstwa dla celów prowadzenia ewaluacji jakości działalności naukowej.</w:t>
      </w:r>
    </w:p>
    <w:p>
      <w:pPr>
        <w:pStyle w:val="Western"/>
        <w:ind w:left="113" w:right="0" w:hanging="0"/>
        <w:rPr>
          <w:rFonts w:ascii="Times New Roman" w:hAnsi="Times New Roman"/>
          <w:b/>
          <w:b/>
          <w:bCs/>
        </w:rPr>
      </w:pPr>
      <w:r>
        <w:rPr>
          <w:rFonts w:ascii="Times New Roman" w:hAnsi="Times New Roman"/>
          <w:b/>
          <w:bCs/>
        </w:rPr>
      </w:r>
    </w:p>
    <w:p>
      <w:pPr>
        <w:pStyle w:val="Western"/>
        <w:ind w:left="113" w:right="0" w:hanging="0"/>
        <w:jc w:val="center"/>
        <w:rPr>
          <w:rFonts w:ascii="Times New Roman" w:hAnsi="Times New Roman"/>
        </w:rPr>
      </w:pPr>
      <w:r>
        <w:rPr>
          <w:rFonts w:ascii="Times New Roman" w:hAnsi="Times New Roman"/>
          <w:b/>
          <w:bCs/>
        </w:rPr>
        <w:t>Rozdział 2. Wymogi stawiane rozprawie doktorskiej</w:t>
      </w:r>
    </w:p>
    <w:p>
      <w:pPr>
        <w:pStyle w:val="Western"/>
        <w:ind w:left="0" w:right="0" w:hanging="0"/>
        <w:rPr>
          <w:rFonts w:ascii="Times New Roman" w:hAnsi="Times New Roman"/>
        </w:rPr>
      </w:pPr>
      <w:r>
        <w:rPr>
          <w:rFonts w:ascii="Times New Roman" w:hAnsi="Times New Roman"/>
        </w:rPr>
      </w:r>
    </w:p>
    <w:p>
      <w:pPr>
        <w:pStyle w:val="Western"/>
        <w:ind w:left="113"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7</w:t>
      </w:r>
      <w:r>
        <w:rPr>
          <w:rFonts w:ascii="Times New Roman" w:hAnsi="Times New Roman"/>
          <w:color w:val="2F5496"/>
        </w:rPr>
        <w:t xml:space="preserve"> [Rozprawa doktorska]</w:t>
      </w:r>
    </w:p>
    <w:p>
      <w:pPr>
        <w:pStyle w:val="NormalWeb"/>
        <w:rPr/>
      </w:pPr>
      <w:r>
        <w:rPr/>
        <w:t xml:space="preserve">1. Rozprawa doktorska prezentuje ogólną wiedzę teoretyczną kandydata w dyscyplinie albo dyscyplinach oraz umiejętność samodzielnego prowadzenia pracy naukowej </w:t>
      </w:r>
      <w:r>
        <w:rPr>
          <w:spacing w:val="-4"/>
        </w:rPr>
        <w:t>lub</w:t>
      </w:r>
      <w:r>
        <w:rPr>
          <w:spacing w:val="50"/>
        </w:rPr>
        <w:t xml:space="preserve"> </w:t>
      </w:r>
      <w:r>
        <w:rPr/>
        <w:t>artystycznej. Przedmiotem rozprawy doktorskiej jest oryginalne rozwiązanie problemu naukowego.</w:t>
      </w:r>
    </w:p>
    <w:p>
      <w:pPr>
        <w:pStyle w:val="NormalWeb"/>
        <w:rPr/>
      </w:pPr>
      <w:r>
        <w:rPr/>
        <w:t>2. Rozprawę doktorską może stanowić praca pisemna, w tym monografia naukowa, zbiór opublikowanych i powiązanych tematycznie artykułów naukowych, a także samodzielna i wyodrębniona część pracy</w:t>
      </w:r>
      <w:r>
        <w:rPr>
          <w:spacing w:val="-2"/>
        </w:rPr>
        <w:t xml:space="preserve"> </w:t>
      </w:r>
      <w:r>
        <w:rPr/>
        <w:t>zbiorowej.</w:t>
      </w:r>
    </w:p>
    <w:p>
      <w:pPr>
        <w:pStyle w:val="NormalWeb"/>
        <w:rPr/>
      </w:pPr>
      <w:r>
        <w:rPr/>
        <w:t>3. Rozprawa powinna zostać przygotowana w języku polskim. Za zgodą Rady Instytutu rozprawa doktorska może być przygotowana w języku obcym.</w:t>
      </w:r>
    </w:p>
    <w:p>
      <w:pPr>
        <w:pStyle w:val="NormalWeb"/>
        <w:rPr/>
      </w:pPr>
      <w:r>
        <w:rPr/>
        <w:t>4. Do rozprawy doktorskiej dołącza się streszczenie w języku angielskim, a do rozprawy doktorskiej przygotowanej w języku obcym również streszczenie w języku polskim. W przypadku gdy rozprawa doktorska nie jest pracą pisemną, dołącza się opis w językach polskim i</w:t>
      </w:r>
      <w:r>
        <w:rPr>
          <w:spacing w:val="-2"/>
        </w:rPr>
        <w:t xml:space="preserve"> </w:t>
      </w:r>
      <w:r>
        <w:rPr/>
        <w:t>angielskim.</w:t>
      </w:r>
    </w:p>
    <w:p>
      <w:pPr>
        <w:pStyle w:val="NormalWeb"/>
        <w:rPr/>
      </w:pPr>
      <w:r>
        <w:rPr/>
        <w:t>5. Jeżeli rozprawę doktorską stanowi samodzielna i wyodrębniona część pracy zbiorowej, kandydat dołącza nadto oświadczenia wszystkich jej współautorów określające</w:t>
      </w:r>
      <w:r>
        <w:rPr>
          <w:spacing w:val="24"/>
        </w:rPr>
        <w:t xml:space="preserve"> </w:t>
      </w:r>
      <w:r>
        <w:rPr/>
        <w:t>indywidualny</w:t>
      </w:r>
      <w:r>
        <w:rPr>
          <w:spacing w:val="26"/>
        </w:rPr>
        <w:t xml:space="preserve"> </w:t>
      </w:r>
      <w:r>
        <w:rPr/>
        <w:t>wkład</w:t>
      </w:r>
      <w:r>
        <w:rPr>
          <w:spacing w:val="24"/>
        </w:rPr>
        <w:t xml:space="preserve"> </w:t>
      </w:r>
      <w:r>
        <w:rPr/>
        <w:t>każdego</w:t>
      </w:r>
      <w:r>
        <w:rPr>
          <w:spacing w:val="26"/>
        </w:rPr>
        <w:t xml:space="preserve"> </w:t>
      </w:r>
      <w:r>
        <w:rPr/>
        <w:t>z</w:t>
      </w:r>
      <w:r>
        <w:rPr>
          <w:spacing w:val="24"/>
        </w:rPr>
        <w:t xml:space="preserve"> </w:t>
      </w:r>
      <w:r>
        <w:rPr/>
        <w:t>nich</w:t>
      </w:r>
      <w:r>
        <w:rPr>
          <w:spacing w:val="26"/>
        </w:rPr>
        <w:t xml:space="preserve"> </w:t>
      </w:r>
      <w:r>
        <w:rPr/>
        <w:t>w</w:t>
      </w:r>
      <w:r>
        <w:rPr>
          <w:spacing w:val="24"/>
        </w:rPr>
        <w:t xml:space="preserve"> </w:t>
      </w:r>
      <w:r>
        <w:rPr/>
        <w:t>jej</w:t>
      </w:r>
      <w:r>
        <w:rPr>
          <w:spacing w:val="26"/>
        </w:rPr>
        <w:t xml:space="preserve"> </w:t>
      </w:r>
      <w:r>
        <w:rPr/>
        <w:t>powstanie.</w:t>
      </w:r>
      <w:r>
        <w:rPr>
          <w:spacing w:val="24"/>
        </w:rPr>
        <w:t xml:space="preserve"> </w:t>
      </w:r>
      <w:r>
        <w:rPr/>
        <w:t>Kandydat</w:t>
      </w:r>
      <w:r>
        <w:rPr>
          <w:spacing w:val="26"/>
        </w:rPr>
        <w:t xml:space="preserve"> </w:t>
      </w:r>
      <w:r>
        <w:rPr/>
        <w:t>jest zwolniony z obowiązku przedłożenia oświadczenia współautora w przypadku jego śmierci, uznania go za zmarłego albo wykazania zaistnienia okoliczności uniemożliwiającego uzyskanie wymaganego oświadczenia.</w:t>
      </w:r>
    </w:p>
    <w:p>
      <w:pPr>
        <w:pStyle w:val="NormalWeb"/>
        <w:rPr/>
      </w:pPr>
      <w:r>
        <w:rPr/>
        <w:t>6. Rozprawa powinna posiadać podstawowe elementy strukturalne rozprawy naukowej. Zasady deponowania rozprawy doktorskiej w Repozytorium Instytucjonalnym KUL oraz zasady przygotowywania egzemplarza archiwalnego rozprawy określają odrębne</w:t>
      </w:r>
      <w:r>
        <w:rPr>
          <w:spacing w:val="-2"/>
        </w:rPr>
        <w:t xml:space="preserve"> </w:t>
      </w:r>
      <w:r>
        <w:rPr/>
        <w:t>przepisy.</w:t>
      </w:r>
    </w:p>
    <w:p>
      <w:pPr>
        <w:pStyle w:val="NormalWeb"/>
        <w:rPr/>
      </w:pPr>
      <w:r>
        <w:rPr/>
      </w:r>
    </w:p>
    <w:p>
      <w:pPr>
        <w:pStyle w:val="Western"/>
        <w:ind w:left="113"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8.</w:t>
      </w:r>
      <w:r>
        <w:rPr>
          <w:rFonts w:ascii="Times New Roman" w:hAnsi="Times New Roman"/>
          <w:color w:val="2F5496"/>
          <w:spacing w:val="-2"/>
        </w:rPr>
        <w:t xml:space="preserve"> </w:t>
      </w:r>
      <w:r>
        <w:rPr>
          <w:rFonts w:ascii="Times New Roman" w:hAnsi="Times New Roman"/>
          <w:color w:val="2F5496"/>
        </w:rPr>
        <w:t>[Opinia promotora i system antyplagiatowy]</w:t>
      </w:r>
    </w:p>
    <w:p>
      <w:pPr>
        <w:pStyle w:val="NormalWeb"/>
        <w:rPr/>
      </w:pPr>
      <w:r>
        <w:rPr/>
        <w:t>1. Przed powołaniem Komisji doktorskiej kandydat składa promotorowi lub promotorom rozprawę doktorską wraz z załącznikami w celu sporządzenia pisemnej opinii. Rozprawę doktorską (w 5 egzemplarzach drukowanych) wraz z załącznikami składa się w postaci pisemnej wraz z kopiami tych dokumentów zapisanymi na informatycznym nośniku danych.</w:t>
      </w:r>
    </w:p>
    <w:p>
      <w:pPr>
        <w:pStyle w:val="NormalWeb"/>
        <w:rPr/>
      </w:pPr>
      <w:r>
        <w:rPr/>
        <w:t xml:space="preserve">2. Każdy promotor, o którym mowa w pkt. </w:t>
      </w:r>
      <w:r>
        <w:rPr>
          <w:smallCaps/>
        </w:rPr>
        <w:t>1</w:t>
      </w:r>
      <w:r>
        <w:rPr/>
        <w:t xml:space="preserve">, sporządza pisemną opinię na temat przedłożonej rozprawy doktorskiej, oceniając, czy rozprawa spełnia wymogi określone w § </w:t>
      </w:r>
      <w:r>
        <w:rPr>
          <w:smallCaps/>
        </w:rPr>
        <w:t>7</w:t>
      </w:r>
      <w:r>
        <w:rPr/>
        <w:t>. Opinia może być pozytywna albo</w:t>
      </w:r>
      <w:r>
        <w:rPr>
          <w:spacing w:val="-4"/>
        </w:rPr>
        <w:t xml:space="preserve"> </w:t>
      </w:r>
      <w:r>
        <w:rPr/>
        <w:t>negatywna.</w:t>
      </w:r>
    </w:p>
    <w:p>
      <w:pPr>
        <w:pStyle w:val="NormalWeb"/>
        <w:rPr/>
      </w:pPr>
      <w:r>
        <w:rPr/>
        <w:t>3. Rozprawa doktorska podlega sprawdzeniu przez promotora głównego z wykorzystaniem Jednolitego Systemu</w:t>
      </w:r>
      <w:r>
        <w:rPr>
          <w:spacing w:val="-2"/>
        </w:rPr>
        <w:t xml:space="preserve"> </w:t>
      </w:r>
      <w:r>
        <w:rPr/>
        <w:t>Antyplagiatowego (JSA). Wynik sprawdzenia pracy z wykorzystaniem JSA promotor przekazuje wraz z opinią Dyrektorowi Instytutu i kandydatowi.</w:t>
      </w:r>
    </w:p>
    <w:p>
      <w:pPr>
        <w:pStyle w:val="NormalWeb"/>
        <w:ind w:left="0" w:right="108" w:hanging="0"/>
        <w:rPr/>
      </w:pPr>
      <w:r>
        <w:rPr/>
        <w:t xml:space="preserve">  </w:t>
      </w:r>
      <w:r>
        <w:rPr/>
        <w:t xml:space="preserve">4. Opinia, o której mowa w pkt. </w:t>
      </w:r>
      <w:r>
        <w:rPr>
          <w:smallCaps/>
        </w:rPr>
        <w:t>2</w:t>
      </w:r>
      <w:r>
        <w:rPr/>
        <w:t xml:space="preserve">, jest sporządzana w terminie 30 dni od dnia doręczenia   </w:t>
      </w:r>
    </w:p>
    <w:p>
      <w:pPr>
        <w:pStyle w:val="NormalWeb"/>
        <w:ind w:left="0" w:right="108" w:hanging="0"/>
        <w:rPr/>
      </w:pPr>
      <w:r>
        <w:rPr/>
        <w:t xml:space="preserve">  </w:t>
      </w:r>
      <w:r>
        <w:rPr/>
        <w:t xml:space="preserve">promotorowi rozprawy wraz z załącznikami, o których mowa w pkt. </w:t>
      </w:r>
      <w:r>
        <w:rPr>
          <w:smallCaps/>
        </w:rPr>
        <w:t>1</w:t>
      </w:r>
      <w:r>
        <w:rPr/>
        <w:t xml:space="preserve">. W szczególnie uzasadnionych   </w:t>
      </w:r>
    </w:p>
    <w:p>
      <w:pPr>
        <w:pStyle w:val="NormalWeb"/>
        <w:ind w:left="0" w:right="108" w:hanging="0"/>
        <w:rPr/>
      </w:pPr>
      <w:r>
        <w:rPr/>
        <w:t xml:space="preserve">  </w:t>
      </w:r>
      <w:r>
        <w:rPr/>
        <w:t xml:space="preserve">przypadkach Dyrektor Instytutu może przedłużyć termin na sporządzenie opinii, jednak nie dłużej    </w:t>
      </w:r>
    </w:p>
    <w:p>
      <w:pPr>
        <w:pStyle w:val="NormalWeb"/>
        <w:ind w:left="0" w:right="108" w:hanging="0"/>
        <w:rPr/>
      </w:pPr>
      <w:r>
        <w:rPr/>
        <w:t xml:space="preserve">  </w:t>
      </w:r>
      <w:r>
        <w:rPr/>
        <w:t xml:space="preserve">niż o </w:t>
      </w:r>
      <w:r>
        <w:rPr>
          <w:smallCaps/>
        </w:rPr>
        <w:t>1</w:t>
      </w:r>
      <w:r>
        <w:rPr/>
        <w:t>4</w:t>
      </w:r>
      <w:r>
        <w:rPr>
          <w:spacing w:val="-6"/>
        </w:rPr>
        <w:t xml:space="preserve"> </w:t>
      </w:r>
      <w:r>
        <w:rPr/>
        <w:t>dni.</w:t>
      </w:r>
    </w:p>
    <w:p>
      <w:pPr>
        <w:pStyle w:val="Western"/>
        <w:ind w:left="0" w:right="113" w:hanging="0"/>
        <w:rPr>
          <w:rFonts w:ascii="Times New Roman" w:hAnsi="Times New Roman"/>
        </w:rPr>
      </w:pPr>
      <w:r>
        <w:rPr>
          <w:rFonts w:ascii="Times New Roman" w:hAnsi="Times New Roman"/>
        </w:rPr>
        <w:t xml:space="preserve">  </w:t>
      </w:r>
      <w:r>
        <w:rPr>
          <w:rFonts w:ascii="Times New Roman" w:hAnsi="Times New Roman"/>
        </w:rPr>
        <w:t xml:space="preserve">5. Sporządzone opinie promotor lub promotorzy, o których mowa w pkt. </w:t>
      </w:r>
      <w:r>
        <w:rPr>
          <w:rFonts w:ascii="Times New Roman" w:hAnsi="Times New Roman"/>
          <w:smallCaps/>
        </w:rPr>
        <w:t>1</w:t>
      </w:r>
      <w:r>
        <w:rPr>
          <w:rFonts w:ascii="Times New Roman" w:hAnsi="Times New Roman"/>
        </w:rPr>
        <w:t>, przekazują:</w:t>
      </w:r>
    </w:p>
    <w:p>
      <w:pPr>
        <w:pStyle w:val="NormalWeb"/>
        <w:ind w:left="386" w:right="0" w:hanging="0"/>
        <w:rPr/>
      </w:pPr>
      <w:r>
        <w:rPr/>
        <w:t>a) kandydatowi;</w:t>
      </w:r>
    </w:p>
    <w:p>
      <w:pPr>
        <w:pStyle w:val="NormalWeb"/>
        <w:ind w:left="397" w:right="0" w:hanging="0"/>
        <w:rPr/>
      </w:pPr>
      <w:r>
        <w:rPr/>
        <w:t>b) Dyrektorowi</w:t>
      </w:r>
      <w:r>
        <w:rPr>
          <w:spacing w:val="-2"/>
        </w:rPr>
        <w:t xml:space="preserve"> </w:t>
      </w:r>
      <w:r>
        <w:rPr/>
        <w:t>Instytutu.</w:t>
      </w:r>
    </w:p>
    <w:p>
      <w:pPr>
        <w:pStyle w:val="Western"/>
        <w:ind w:left="113" w:right="0" w:hanging="0"/>
        <w:jc w:val="center"/>
        <w:rPr>
          <w:rFonts w:ascii="Times New Roman" w:hAnsi="Times New Roman"/>
        </w:rPr>
      </w:pPr>
      <w:r>
        <w:rPr>
          <w:rFonts w:ascii="Times New Roman" w:hAnsi="Times New Roman"/>
          <w:b/>
          <w:bCs/>
        </w:rPr>
        <w:t>Rozdział 3. Recenzenci i recenzje</w:t>
      </w:r>
    </w:p>
    <w:p>
      <w:pPr>
        <w:pStyle w:val="Western"/>
        <w:ind w:left="113" w:right="0" w:hanging="0"/>
        <w:rPr>
          <w:rFonts w:ascii="Times New Roman" w:hAnsi="Times New Roman"/>
        </w:rPr>
      </w:pPr>
      <w:r>
        <w:rPr>
          <w:rFonts w:ascii="Times New Roman" w:hAnsi="Times New Roman"/>
        </w:rPr>
      </w:r>
    </w:p>
    <w:p>
      <w:pPr>
        <w:pStyle w:val="Western"/>
        <w:ind w:left="113"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9</w:t>
      </w:r>
      <w:r>
        <w:rPr>
          <w:rFonts w:ascii="Times New Roman" w:hAnsi="Times New Roman"/>
          <w:color w:val="2F5496"/>
        </w:rPr>
        <w:t>. [Wymogi stawiane recenzentom]</w:t>
      </w:r>
    </w:p>
    <w:p>
      <w:pPr>
        <w:pStyle w:val="NormalWeb"/>
        <w:ind w:left="113" w:right="0" w:hanging="0"/>
        <w:rPr/>
      </w:pPr>
      <w:r>
        <w:rPr/>
        <w:t>1. Recenzentem w postępowaniu w sprawie nadania stopnia doktora może być</w:t>
      </w:r>
      <w:r>
        <w:rPr>
          <w:spacing w:val="-6"/>
        </w:rPr>
        <w:t xml:space="preserve"> </w:t>
      </w:r>
      <w:r>
        <w:rPr/>
        <w:t>osoba:</w:t>
      </w:r>
    </w:p>
    <w:p>
      <w:pPr>
        <w:pStyle w:val="NormalWeb"/>
        <w:rPr/>
      </w:pPr>
      <w:r>
        <w:rPr/>
        <w:t>a) posiadająca stopień doktora habilitowanego lub tytuł profesora w danej dyscyplinie naukowej lub w dyscyplinie pokrewnej związanej z tematyką doktoratu, która posiada dorobek naukowy i doświadczenie pozwalające na sporządzenie rzetelnej recenzji rozprawy</w:t>
      </w:r>
      <w:r>
        <w:rPr>
          <w:spacing w:val="-2"/>
        </w:rPr>
        <w:t xml:space="preserve"> </w:t>
      </w:r>
      <w:r>
        <w:rPr/>
        <w:t>doktorskiej;</w:t>
      </w:r>
    </w:p>
    <w:p>
      <w:pPr>
        <w:pStyle w:val="NormalWeb"/>
        <w:rPr/>
      </w:pPr>
      <w:r>
        <w:rPr/>
        <w:t>b) osoba niespełniająca warunku posiadania stopnia doktora habilitowanego lub tytułu profesora, która jest pracownikiem zagranicznej uczelni lub instytucji naukowej, jeżeli osoba ta posiada znaczące osiągnięcia w zakresie zagadnień naukowych, których dotyczy rozprawa doktorska, a równocześnie posiada dorobek naukowy i doświadczenie pozwalające na sporządzenie rzetelnej recenzji rozprawy doktorskiej.</w:t>
      </w:r>
    </w:p>
    <w:p>
      <w:pPr>
        <w:pStyle w:val="NormalWeb"/>
        <w:ind w:left="113" w:right="0" w:hanging="0"/>
        <w:rPr/>
      </w:pPr>
      <w:r>
        <w:rPr/>
        <w:t>2. Recenzentem nie może być</w:t>
      </w:r>
      <w:r>
        <w:rPr>
          <w:spacing w:val="-2"/>
        </w:rPr>
        <w:t xml:space="preserve"> </w:t>
      </w:r>
      <w:r>
        <w:rPr/>
        <w:t>osoba:</w:t>
      </w:r>
    </w:p>
    <w:p>
      <w:pPr>
        <w:pStyle w:val="NormalWeb"/>
        <w:rPr/>
      </w:pPr>
      <w:r>
        <w:rPr/>
        <w:t>a) w stosunku do której istnieją uzasadnione wątpliwości co do</w:t>
      </w:r>
      <w:r>
        <w:rPr>
          <w:spacing w:val="44"/>
        </w:rPr>
        <w:t xml:space="preserve"> </w:t>
      </w:r>
      <w:r>
        <w:rPr/>
        <w:t>zachowania fachowości, bezstronności lub</w:t>
      </w:r>
      <w:r>
        <w:rPr>
          <w:spacing w:val="-2"/>
        </w:rPr>
        <w:t xml:space="preserve"> </w:t>
      </w:r>
      <w:r>
        <w:rPr/>
        <w:t>obiektywizmu;</w:t>
      </w:r>
    </w:p>
    <w:p>
      <w:pPr>
        <w:pStyle w:val="NormalWeb"/>
        <w:rPr/>
      </w:pPr>
      <w:r>
        <w:rPr/>
        <w:t xml:space="preserve">b) ukarana karą dyscyplinarną, o której mowa w art. </w:t>
      </w:r>
      <w:r>
        <w:rPr>
          <w:smallCaps/>
        </w:rPr>
        <w:t>2</w:t>
      </w:r>
      <w:r>
        <w:rPr/>
        <w:t xml:space="preserve">76 ust. </w:t>
      </w:r>
      <w:r>
        <w:rPr>
          <w:smallCaps/>
        </w:rPr>
        <w:t>1</w:t>
      </w:r>
      <w:r>
        <w:rPr/>
        <w:t xml:space="preserve"> pkt 4 Ustawy w okresie trwania tej</w:t>
      </w:r>
      <w:r>
        <w:rPr>
          <w:spacing w:val="-4"/>
        </w:rPr>
        <w:t xml:space="preserve"> </w:t>
      </w:r>
      <w:r>
        <w:rPr/>
        <w:t>kary;</w:t>
      </w:r>
    </w:p>
    <w:p>
      <w:pPr>
        <w:pStyle w:val="Western"/>
        <w:ind w:left="0" w:right="0" w:hanging="0"/>
        <w:rPr>
          <w:rFonts w:ascii="Times New Roman" w:hAnsi="Times New Roman"/>
        </w:rPr>
      </w:pPr>
      <w:r>
        <w:rPr>
          <w:rFonts w:ascii="Times New Roman" w:hAnsi="Times New Roman"/>
        </w:rPr>
        <w:t xml:space="preserve">  </w:t>
      </w:r>
      <w:r>
        <w:rPr>
          <w:rFonts w:ascii="Times New Roman" w:hAnsi="Times New Roman"/>
        </w:rPr>
        <w:t>c) będąca pracownikiem</w:t>
      </w:r>
      <w:r>
        <w:rPr>
          <w:rFonts w:ascii="Times New Roman" w:hAnsi="Times New Roman"/>
          <w:spacing w:val="-2"/>
        </w:rPr>
        <w:t xml:space="preserve"> </w:t>
      </w:r>
      <w:r>
        <w:rPr>
          <w:rFonts w:ascii="Times New Roman" w:hAnsi="Times New Roman"/>
        </w:rPr>
        <w:t>KUL;</w:t>
      </w:r>
    </w:p>
    <w:p>
      <w:pPr>
        <w:pStyle w:val="NormalWeb"/>
        <w:rPr/>
      </w:pPr>
      <w:r>
        <w:rPr/>
        <w:t>d) będąca pracownikiem uczelni, instytutu PAN, instytutu badawczego, instytutu międzynarodowego, Centrum Łukasiewicz albo instytutu Sieci Łukasiewicz, których pracownikiem jest osoba ubiegająca się o stopień</w:t>
      </w:r>
      <w:r>
        <w:rPr>
          <w:spacing w:val="-2"/>
        </w:rPr>
        <w:t xml:space="preserve"> </w:t>
      </w:r>
      <w:r>
        <w:rPr/>
        <w:t>doktora.</w:t>
      </w:r>
    </w:p>
    <w:p>
      <w:pPr>
        <w:pStyle w:val="NormalWeb"/>
        <w:rPr/>
      </w:pPr>
      <w:r>
        <w:rPr/>
        <w:t xml:space="preserve">3. Przez przypadki, o których mowa w pkt. </w:t>
      </w:r>
      <w:r>
        <w:rPr>
          <w:smallCaps/>
        </w:rPr>
        <w:t>2</w:t>
      </w:r>
      <w:r>
        <w:rPr/>
        <w:t>a rozumie się w szczególności sytuacje, w</w:t>
      </w:r>
      <w:r>
        <w:rPr>
          <w:spacing w:val="-2"/>
        </w:rPr>
        <w:t xml:space="preserve"> </w:t>
      </w:r>
      <w:r>
        <w:rPr/>
        <w:t>których:</w:t>
      </w:r>
    </w:p>
    <w:p>
      <w:pPr>
        <w:pStyle w:val="Western"/>
        <w:ind w:left="113" w:right="0" w:hanging="0"/>
        <w:rPr>
          <w:rFonts w:ascii="Times New Roman" w:hAnsi="Times New Roman"/>
        </w:rPr>
      </w:pPr>
      <w:r>
        <w:rPr>
          <w:rFonts w:ascii="Times New Roman" w:hAnsi="Times New Roman"/>
        </w:rPr>
        <w:t>a) recenzent jest współautorem prac naukowych wskazanych przez</w:t>
      </w:r>
      <w:r>
        <w:rPr>
          <w:rFonts w:ascii="Times New Roman" w:hAnsi="Times New Roman"/>
          <w:spacing w:val="-6"/>
        </w:rPr>
        <w:t xml:space="preserve"> </w:t>
      </w:r>
      <w:r>
        <w:rPr>
          <w:rFonts w:ascii="Times New Roman" w:hAnsi="Times New Roman"/>
        </w:rPr>
        <w:t>kandydata;</w:t>
      </w:r>
    </w:p>
    <w:p>
      <w:pPr>
        <w:pStyle w:val="NormalWeb"/>
        <w:rPr/>
      </w:pPr>
      <w:r>
        <w:rPr/>
        <w:t>b) recenzent uczestniczył lub uczestniczy wspólnie z kandydatem w zespołach badawczych realizujących projekty finansowane w drodze konkursów krajowych lub zagranicznych;</w:t>
      </w:r>
    </w:p>
    <w:p>
      <w:pPr>
        <w:pStyle w:val="NormalWeb"/>
        <w:rPr/>
      </w:pPr>
      <w:r>
        <w:rPr/>
        <w:t>c) recenzent prowadził lub prowadzi wspólnie z kandydatem prace naukowe w instytucjach</w:t>
      </w:r>
      <w:r>
        <w:rPr>
          <w:spacing w:val="-2"/>
        </w:rPr>
        <w:t xml:space="preserve"> </w:t>
      </w:r>
      <w:r>
        <w:rPr/>
        <w:t>naukowych;</w:t>
      </w:r>
    </w:p>
    <w:p>
      <w:pPr>
        <w:pStyle w:val="NormalWeb"/>
        <w:rPr/>
      </w:pPr>
      <w:r>
        <w:rPr/>
        <w:t>d) recenzent sporządzał recenzje w innych postępowaniach o awans naukowy kandydata, jak i pełnił funkcję członka komisji habilitacyjnej lub promotora albo promotora pomocniczego w innych postępowaniach o awans zawodowy lub naukowy kandydata;</w:t>
      </w:r>
    </w:p>
    <w:p>
      <w:pPr>
        <w:pStyle w:val="NormalWeb"/>
        <w:rPr/>
      </w:pPr>
      <w:r>
        <w:rPr/>
        <w:t>e) między recenzentem a kandydatem lub promotorem zachodzi stosunek pokrewieństwa lub powinowactwa do drugiego stopnia, ewentualnie stosunek przysposobienia, opieki lub</w:t>
      </w:r>
      <w:r>
        <w:rPr>
          <w:spacing w:val="-2"/>
        </w:rPr>
        <w:t xml:space="preserve"> </w:t>
      </w:r>
      <w:r>
        <w:rPr/>
        <w:t>kurateli;</w:t>
      </w:r>
    </w:p>
    <w:p>
      <w:pPr>
        <w:pStyle w:val="Western"/>
        <w:ind w:left="0" w:right="0" w:hanging="0"/>
        <w:rPr>
          <w:rFonts w:ascii="Times New Roman" w:hAnsi="Times New Roman"/>
        </w:rPr>
      </w:pPr>
      <w:r>
        <w:rPr>
          <w:rFonts w:ascii="Times New Roman" w:hAnsi="Times New Roman"/>
        </w:rPr>
        <w:t xml:space="preserve">  </w:t>
      </w:r>
      <w:r>
        <w:rPr>
          <w:rFonts w:ascii="Times New Roman" w:hAnsi="Times New Roman"/>
        </w:rPr>
        <w:t>f) między recenzentem a kandydatem zachodzi stosunek nadrzędności</w:t>
      </w:r>
      <w:r>
        <w:rPr>
          <w:rFonts w:ascii="Times New Roman" w:hAnsi="Times New Roman"/>
          <w:spacing w:val="-4"/>
        </w:rPr>
        <w:t xml:space="preserve"> </w:t>
      </w:r>
      <w:r>
        <w:rPr>
          <w:rFonts w:ascii="Times New Roman" w:hAnsi="Times New Roman"/>
        </w:rPr>
        <w:t>służbowej;</w:t>
      </w:r>
    </w:p>
    <w:p>
      <w:pPr>
        <w:pStyle w:val="NormalWeb"/>
        <w:rPr/>
      </w:pPr>
      <w:r>
        <w:rPr/>
        <w:t>g) recenzent pozostaje lub pozostawał w związku małżeńskim lub we wspólnym pożyciu z kandydatem lub promotorem</w:t>
      </w:r>
      <w:r>
        <w:rPr>
          <w:spacing w:val="-2"/>
        </w:rPr>
        <w:t xml:space="preserve"> </w:t>
      </w:r>
      <w:r>
        <w:rPr/>
        <w:t>pracy;</w:t>
      </w:r>
    </w:p>
    <w:p>
      <w:pPr>
        <w:pStyle w:val="NormalWeb"/>
        <w:rPr/>
      </w:pPr>
      <w:r>
        <w:rPr/>
        <w:t>h) między recenzentem a promotorem zachodzi stosunek nadrzędności lub podległości służbowej.</w:t>
      </w:r>
    </w:p>
    <w:p>
      <w:pPr>
        <w:pStyle w:val="Western"/>
        <w:ind w:left="0" w:right="0" w:hanging="0"/>
        <w:rPr>
          <w:rFonts w:ascii="Times New Roman" w:hAnsi="Times New Roman"/>
        </w:rPr>
      </w:pPr>
      <w:r>
        <w:rPr>
          <w:rFonts w:ascii="Times New Roman" w:hAnsi="Times New Roman"/>
        </w:rPr>
      </w:r>
    </w:p>
    <w:p>
      <w:pPr>
        <w:pStyle w:val="Nagwek1"/>
        <w:spacing w:lineRule="auto" w:line="240" w:beforeAutospacing="0" w:before="0" w:after="0"/>
        <w:rPr>
          <w:rFonts w:ascii="Times New Roman" w:hAnsi="Times New Roman" w:cs="Times New Roman"/>
          <w:sz w:val="24"/>
          <w:szCs w:val="24"/>
        </w:rPr>
      </w:pPr>
      <w:r>
        <w:rPr>
          <w:rFonts w:cs="Times New Roman" w:ascii="Times New Roman" w:hAnsi="Times New Roman"/>
          <w:color w:val="2F5496"/>
          <w:sz w:val="24"/>
          <w:szCs w:val="24"/>
        </w:rPr>
        <w:t xml:space="preserve">§ </w:t>
      </w:r>
      <w:r>
        <w:rPr>
          <w:rFonts w:cs="Times New Roman" w:ascii="Times New Roman" w:hAnsi="Times New Roman"/>
          <w:smallCaps/>
          <w:color w:val="2F5496"/>
          <w:sz w:val="24"/>
          <w:szCs w:val="24"/>
        </w:rPr>
        <w:t>1</w:t>
      </w:r>
      <w:r>
        <w:rPr>
          <w:rFonts w:cs="Times New Roman" w:ascii="Times New Roman" w:hAnsi="Times New Roman"/>
          <w:color w:val="2F5496"/>
          <w:sz w:val="24"/>
          <w:szCs w:val="24"/>
        </w:rPr>
        <w:t>0. [Powołanie recenzentów]</w:t>
      </w:r>
    </w:p>
    <w:p>
      <w:pPr>
        <w:pStyle w:val="NormalWeb"/>
        <w:ind w:left="0" w:right="108" w:hanging="0"/>
        <w:rPr/>
      </w:pPr>
      <w:r>
        <w:rPr/>
        <w:t xml:space="preserve">1. W postępowaniu w sprawie nadania stopnia naukowego doktora Rada Instytutu wyznacza 3 recenzentów w </w:t>
      </w:r>
      <w:r>
        <w:rPr>
          <w:spacing w:val="-4"/>
        </w:rPr>
        <w:t xml:space="preserve">drodze tajnego </w:t>
      </w:r>
      <w:r>
        <w:rPr/>
        <w:t>głosowania.</w:t>
      </w:r>
    </w:p>
    <w:p>
      <w:pPr>
        <w:pStyle w:val="NormalWeb"/>
        <w:ind w:left="0" w:right="108" w:hanging="0"/>
        <w:rPr/>
      </w:pPr>
      <w:r>
        <w:rPr/>
        <w:t>2. Recenzentów wyznacza w głosowaniu tajnym Rada Instytutu spośród kandydatów przedstawionych przez: promotora, Dyrektora instytutu oraz członków Rady Instytutu.</w:t>
      </w:r>
    </w:p>
    <w:p>
      <w:pPr>
        <w:pStyle w:val="NormalWeb"/>
        <w:ind w:left="0" w:right="108" w:hanging="0"/>
        <w:rPr/>
      </w:pPr>
      <w:r>
        <w:rPr/>
        <w:t>3. Recenzentów powołuje się nie później niż w ciągu 6 tygodni od dnia złożenia rozprawy doktorskiej wraz z pozytywną opinią promotora lub promotorów. Jeżeli termin ten przypada na miesiące lipiec lub sierpień, wówczas recenzentów powołuje się na najbliższym posiedzeniu Rady</w:t>
      </w:r>
      <w:r>
        <w:rPr>
          <w:spacing w:val="-2"/>
        </w:rPr>
        <w:t xml:space="preserve"> </w:t>
      </w:r>
      <w:r>
        <w:rPr/>
        <w:t>Instytutu.</w:t>
      </w:r>
    </w:p>
    <w:p>
      <w:pPr>
        <w:pStyle w:val="NormalWeb"/>
        <w:ind w:left="0" w:right="108" w:hanging="0"/>
        <w:rPr/>
      </w:pPr>
      <w:r>
        <w:rPr/>
        <w:t>4. Przed powołaniem recenzentów sekretariat Instytutu dokonuje weryfikacji spełniania przez kandydatów na recenzentów wymogów określonych w §</w:t>
      </w:r>
      <w:r>
        <w:rPr>
          <w:spacing w:val="-6"/>
        </w:rPr>
        <w:t xml:space="preserve"> </w:t>
      </w:r>
      <w:r>
        <w:rPr>
          <w:smallCaps/>
        </w:rPr>
        <w:t>9</w:t>
      </w:r>
      <w:r>
        <w:rPr/>
        <w:t>.</w:t>
      </w:r>
    </w:p>
    <w:p>
      <w:pPr>
        <w:pStyle w:val="NormalWeb"/>
        <w:ind w:left="0" w:right="108" w:hanging="0"/>
        <w:rPr/>
      </w:pPr>
      <w:r>
        <w:rPr/>
        <w:t>5. Po powołaniu recenzenta Dyrektor Instytutu zleca niezwłoczne zawarcie umowy z recenzentem. Umowa określa w</w:t>
      </w:r>
      <w:r>
        <w:rPr>
          <w:spacing w:val="-4"/>
        </w:rPr>
        <w:t xml:space="preserve"> </w:t>
      </w:r>
      <w:r>
        <w:rPr/>
        <w:t>szczególności:</w:t>
      </w:r>
    </w:p>
    <w:p>
      <w:pPr>
        <w:pStyle w:val="Western"/>
        <w:ind w:left="0" w:right="0" w:firstLine="708"/>
        <w:rPr>
          <w:rFonts w:ascii="Times New Roman" w:hAnsi="Times New Roman"/>
        </w:rPr>
      </w:pPr>
      <w:r>
        <w:rPr>
          <w:rFonts w:ascii="Times New Roman" w:hAnsi="Times New Roman"/>
        </w:rPr>
        <w:t xml:space="preserve">a) termin sporządzenia recenzji, wskazany w § </w:t>
      </w:r>
      <w:r>
        <w:rPr>
          <w:rFonts w:ascii="Times New Roman" w:hAnsi="Times New Roman"/>
          <w:smallCaps/>
        </w:rPr>
        <w:t>11</w:t>
      </w:r>
      <w:r>
        <w:rPr>
          <w:rFonts w:ascii="Times New Roman" w:hAnsi="Times New Roman"/>
        </w:rPr>
        <w:t xml:space="preserve"> pkt.</w:t>
      </w:r>
      <w:r>
        <w:rPr>
          <w:rFonts w:ascii="Times New Roman" w:hAnsi="Times New Roman"/>
          <w:spacing w:val="-6"/>
        </w:rPr>
        <w:t xml:space="preserve"> </w:t>
      </w:r>
      <w:r>
        <w:rPr>
          <w:rFonts w:ascii="Times New Roman" w:hAnsi="Times New Roman"/>
          <w:smallCaps/>
        </w:rPr>
        <w:t>1</w:t>
      </w:r>
      <w:r>
        <w:rPr>
          <w:rFonts w:ascii="Times New Roman" w:hAnsi="Times New Roman"/>
        </w:rPr>
        <w:t>;</w:t>
      </w:r>
    </w:p>
    <w:p>
      <w:pPr>
        <w:pStyle w:val="Western"/>
        <w:ind w:left="0" w:right="0" w:firstLine="708"/>
        <w:rPr>
          <w:rFonts w:ascii="Times New Roman" w:hAnsi="Times New Roman"/>
        </w:rPr>
      </w:pPr>
      <w:r>
        <w:rPr>
          <w:rFonts w:ascii="Times New Roman" w:hAnsi="Times New Roman"/>
        </w:rPr>
        <w:t>b) wysokość</w:t>
      </w:r>
      <w:r>
        <w:rPr>
          <w:rFonts w:ascii="Times New Roman" w:hAnsi="Times New Roman"/>
          <w:spacing w:val="-2"/>
        </w:rPr>
        <w:t xml:space="preserve"> </w:t>
      </w:r>
      <w:r>
        <w:rPr>
          <w:rFonts w:ascii="Times New Roman" w:hAnsi="Times New Roman"/>
        </w:rPr>
        <w:t>wynagrodzenia;</w:t>
      </w:r>
    </w:p>
    <w:p>
      <w:pPr>
        <w:pStyle w:val="Western"/>
        <w:ind w:left="708" w:right="0" w:hanging="0"/>
        <w:rPr>
          <w:rFonts w:ascii="Times New Roman" w:hAnsi="Times New Roman"/>
        </w:rPr>
      </w:pPr>
      <w:r>
        <w:rPr>
          <w:rFonts w:ascii="Times New Roman" w:hAnsi="Times New Roman"/>
        </w:rPr>
        <w:t>c) kary umowne za niedotrzymanie jej warunków, przesłanki wypowiedzenia umowy z winy recenzenta oraz przesłanki jej wypowiedzenia z przyczyn od recenzenta niezależnych, które uniemożliwiają lub znacznie utrudniają wykonanie recenzji w terminie;</w:t>
      </w:r>
    </w:p>
    <w:p>
      <w:pPr>
        <w:pStyle w:val="NormalWeb"/>
        <w:ind w:left="708" w:right="108" w:hanging="0"/>
        <w:rPr/>
      </w:pPr>
      <w:r>
        <w:rPr/>
        <w:t>d) zobowiązanie do zachowania poufności w stosunku do kandydata i innych podmiotów nieuczestniczących w postępowaniu do czasu jego</w:t>
      </w:r>
      <w:r>
        <w:rPr>
          <w:spacing w:val="-4"/>
        </w:rPr>
        <w:t xml:space="preserve"> </w:t>
      </w:r>
      <w:r>
        <w:rPr/>
        <w:t>zakończenia.</w:t>
      </w:r>
    </w:p>
    <w:p>
      <w:pPr>
        <w:pStyle w:val="NormalWeb"/>
        <w:ind w:left="708" w:right="108" w:hanging="0"/>
        <w:rPr/>
      </w:pPr>
      <w:r>
        <w:rPr/>
      </w:r>
    </w:p>
    <w:p>
      <w:pPr>
        <w:pStyle w:val="NormalWeb"/>
        <w:rPr/>
      </w:pPr>
      <w:r>
        <w:rPr>
          <w:color w:val="2F5496"/>
        </w:rPr>
        <w:t xml:space="preserve">§ </w:t>
      </w:r>
      <w:r>
        <w:rPr>
          <w:smallCaps/>
          <w:color w:val="2F5496"/>
        </w:rPr>
        <w:t>1</w:t>
      </w:r>
      <w:r>
        <w:rPr>
          <w:color w:val="2F5496"/>
        </w:rPr>
        <w:t>1. [Sporządzenie recenzji]</w:t>
      </w:r>
    </w:p>
    <w:p>
      <w:pPr>
        <w:pStyle w:val="NormalWeb"/>
        <w:rPr/>
      </w:pPr>
      <w:r>
        <w:rPr/>
        <w:t>1. Recenzenci sporządzają recenzje rozprawy doktorskiej w terminie dwóch miesięcy od dnia jej otrzymania.</w:t>
      </w:r>
    </w:p>
    <w:p>
      <w:pPr>
        <w:pStyle w:val="NormalWeb"/>
        <w:rPr/>
      </w:pPr>
      <w:r>
        <w:rPr/>
        <w:t xml:space="preserve">2. Recenzja zawiera szczegółowo uzasadnioną ocenę spełniania przez rozprawę doktorską warunków określonych w § </w:t>
      </w:r>
      <w:r>
        <w:rPr>
          <w:smallCaps/>
        </w:rPr>
        <w:t>11</w:t>
      </w:r>
      <w:r>
        <w:rPr/>
        <w:t>. Recenzja może zawierać wnioski dotyczące uzupełnienia lub poprawienia rozprawy doktorskiej, które osobie ubiegającej się o stopień naukowy doktora i jej promotorowi przekazuje Dyrektor Instytutu, ze wskazaniem terminu uzupełnienia lub</w:t>
      </w:r>
      <w:r>
        <w:rPr>
          <w:spacing w:val="-4"/>
        </w:rPr>
        <w:t xml:space="preserve"> </w:t>
      </w:r>
      <w:r>
        <w:rPr/>
        <w:t>poprawy.</w:t>
      </w:r>
    </w:p>
    <w:p>
      <w:pPr>
        <w:pStyle w:val="NormalWeb"/>
        <w:rPr/>
      </w:pPr>
      <w:r>
        <w:rPr/>
        <w:t>3. Recenzja powinna być kompletna, rzetelna, dokładna i obiektywna. Treść i konkluzja recenzji muszą być merytorycznie spójne, a poczynione oceny winny być właściwie uzasadnione. Konkluzja recenzji może być wyłącznie pozytywna albo negatywna.</w:t>
      </w:r>
    </w:p>
    <w:p>
      <w:pPr>
        <w:pStyle w:val="NormalWeb"/>
        <w:rPr/>
      </w:pPr>
      <w:r>
        <w:rPr/>
        <w:t>4. W przypadku, gdy rozprawę doktorską stanowi samodzielna i wyodrębniona część pracy zbiorowej, recenzja zawiera ocenę indywidualnego wkładu kandydata w powstanie tej pracy.</w:t>
      </w:r>
    </w:p>
    <w:p>
      <w:pPr>
        <w:pStyle w:val="NormalWeb"/>
        <w:rPr/>
      </w:pPr>
      <w:r>
        <w:rPr/>
        <w:t>5. Recenzja może zawierać wniosek o wyróżnienie rozprawy, jeżeli praca ta prezentuje wysoki poziom, biorąc pod uwagę rangę rozwiązywanego problemu oraz zakres i jakość badań, a nadto wyróżnia się oryginalnością zastosowanych metod i narzędzi badawczych lub posiada szczególne walory poznawcze, użytkowe i/lub</w:t>
      </w:r>
      <w:r>
        <w:rPr>
          <w:spacing w:val="-10"/>
        </w:rPr>
        <w:t xml:space="preserve"> </w:t>
      </w:r>
      <w:r>
        <w:rPr/>
        <w:t>aplikacyjne.</w:t>
      </w:r>
    </w:p>
    <w:p>
      <w:pPr>
        <w:pStyle w:val="NormalWeb"/>
        <w:rPr/>
      </w:pPr>
      <w:r>
        <w:rPr/>
        <w:t>6. Jeżeli recenzja zawiera wniosek o wyróżnienie rozprawy doktorskiej, to wniosek ten wymaga</w:t>
      </w:r>
      <w:r>
        <w:rPr>
          <w:spacing w:val="-2"/>
        </w:rPr>
        <w:t xml:space="preserve"> </w:t>
      </w:r>
      <w:r>
        <w:rPr/>
        <w:t>uzasadnienia.</w:t>
      </w:r>
    </w:p>
    <w:p>
      <w:pPr>
        <w:pStyle w:val="NormalWeb"/>
        <w:rPr/>
      </w:pPr>
      <w:r>
        <w:rPr/>
        <w:t>7. Recenzenci przekazują Dyrektorowi Instytutu sporządzone recenzje w formie pisemnej (w postaci papierowej i elektronicznej), a po otrzymaniu ostatniej recenzji Dyrektor Instytutu przekazuje je Komisji doktorskiej.</w:t>
      </w:r>
    </w:p>
    <w:p>
      <w:pPr>
        <w:pStyle w:val="NormalWeb"/>
        <w:rPr/>
      </w:pPr>
      <w:r>
        <w:rPr/>
        <w:t xml:space="preserve">8. W przypadku przekroczenia przez recenzenta terminu, o którym mowa w pkt. </w:t>
      </w:r>
      <w:r>
        <w:rPr>
          <w:smallCaps/>
        </w:rPr>
        <w:t>1</w:t>
      </w:r>
      <w:r>
        <w:rPr/>
        <w:t>, Dyrektor Instytutu wzywa go do niezwłocznego przekazania recenzji, pod rygorem wypowiedzenia umowy o sporządzenie recenzji z winy recenzenta, wyznaczając dodatkowy termin, w którym recenzja zostanie sporządzona. Decyzja co do wypowiedzenia umowy zawartej z recenzentem podejmowana jest z uwzględnieniem przyczyn uchybienia terminu oraz prognozowanego terminu sporządzenia</w:t>
      </w:r>
      <w:r>
        <w:rPr>
          <w:spacing w:val="-8"/>
        </w:rPr>
        <w:t xml:space="preserve"> </w:t>
      </w:r>
      <w:r>
        <w:rPr/>
        <w:t>recenzji.</w:t>
      </w:r>
    </w:p>
    <w:p>
      <w:pPr>
        <w:pStyle w:val="Nagwek2"/>
        <w:spacing w:beforeAutospacing="0" w:before="0" w:after="0"/>
        <w:ind w:left="0" w:right="301" w:hanging="0"/>
        <w:rPr>
          <w:sz w:val="24"/>
          <w:szCs w:val="24"/>
        </w:rPr>
      </w:pPr>
      <w:r>
        <w:rPr>
          <w:sz w:val="24"/>
          <w:szCs w:val="24"/>
        </w:rPr>
      </w:r>
    </w:p>
    <w:p>
      <w:pPr>
        <w:pStyle w:val="Nagwek2"/>
        <w:spacing w:before="0" w:after="0"/>
        <w:ind w:left="0" w:right="301" w:hanging="0"/>
        <w:rPr>
          <w:sz w:val="24"/>
          <w:szCs w:val="24"/>
        </w:rPr>
      </w:pPr>
      <w:r>
        <w:rPr>
          <w:sz w:val="24"/>
          <w:szCs w:val="24"/>
        </w:rPr>
        <w:t>R</w:t>
      </w:r>
      <w:r>
        <w:rPr>
          <w:spacing w:val="-2"/>
          <w:sz w:val="24"/>
          <w:szCs w:val="24"/>
        </w:rPr>
        <w:t>o</w:t>
      </w:r>
      <w:r>
        <w:rPr>
          <w:sz w:val="24"/>
          <w:szCs w:val="24"/>
        </w:rPr>
        <w:t>zdział</w:t>
      </w:r>
      <w:r>
        <w:rPr>
          <w:spacing w:val="-2"/>
          <w:sz w:val="24"/>
          <w:szCs w:val="24"/>
        </w:rPr>
        <w:t xml:space="preserve"> 4</w:t>
      </w:r>
      <w:r>
        <w:rPr>
          <w:sz w:val="24"/>
          <w:szCs w:val="24"/>
        </w:rPr>
        <w:t>. Wszczęcie postępowania: wyznaczenie pr</w:t>
      </w:r>
      <w:r>
        <w:rPr>
          <w:spacing w:val="-2"/>
          <w:sz w:val="24"/>
          <w:szCs w:val="24"/>
        </w:rPr>
        <w:t>o</w:t>
      </w:r>
      <w:r>
        <w:rPr>
          <w:sz w:val="24"/>
          <w:szCs w:val="24"/>
        </w:rPr>
        <w:t>m</w:t>
      </w:r>
      <w:r>
        <w:rPr>
          <w:spacing w:val="-2"/>
          <w:sz w:val="24"/>
          <w:szCs w:val="24"/>
        </w:rPr>
        <w:t>o</w:t>
      </w:r>
      <w:r>
        <w:rPr>
          <w:sz w:val="24"/>
          <w:szCs w:val="24"/>
        </w:rPr>
        <w:t>t</w:t>
      </w:r>
      <w:r>
        <w:rPr>
          <w:spacing w:val="-2"/>
          <w:sz w:val="24"/>
          <w:szCs w:val="24"/>
        </w:rPr>
        <w:t>o</w:t>
      </w:r>
      <w:r>
        <w:rPr>
          <w:sz w:val="24"/>
          <w:szCs w:val="24"/>
        </w:rPr>
        <w:t>ra</w:t>
      </w:r>
      <w:r>
        <w:rPr>
          <w:spacing w:val="-2"/>
          <w:sz w:val="24"/>
          <w:szCs w:val="24"/>
        </w:rPr>
        <w:t xml:space="preserve"> </w:t>
      </w:r>
      <w:r>
        <w:rPr>
          <w:sz w:val="24"/>
          <w:szCs w:val="24"/>
        </w:rPr>
        <w:t>i pr</w:t>
      </w:r>
      <w:r>
        <w:rPr>
          <w:spacing w:val="-2"/>
          <w:sz w:val="24"/>
          <w:szCs w:val="24"/>
        </w:rPr>
        <w:t>o</w:t>
      </w:r>
      <w:r>
        <w:rPr>
          <w:sz w:val="24"/>
          <w:szCs w:val="24"/>
        </w:rPr>
        <w:t>m</w:t>
      </w:r>
      <w:r>
        <w:rPr>
          <w:spacing w:val="-2"/>
          <w:sz w:val="24"/>
          <w:szCs w:val="24"/>
        </w:rPr>
        <w:t>o</w:t>
      </w:r>
      <w:r>
        <w:rPr>
          <w:sz w:val="24"/>
          <w:szCs w:val="24"/>
        </w:rPr>
        <w:t>t</w:t>
      </w:r>
      <w:r>
        <w:rPr>
          <w:spacing w:val="-2"/>
          <w:sz w:val="24"/>
          <w:szCs w:val="24"/>
        </w:rPr>
        <w:t>o</w:t>
      </w:r>
      <w:r>
        <w:rPr>
          <w:sz w:val="24"/>
          <w:szCs w:val="24"/>
        </w:rPr>
        <w:t>ra</w:t>
      </w:r>
      <w:r>
        <w:rPr>
          <w:spacing w:val="-2"/>
          <w:sz w:val="24"/>
          <w:szCs w:val="24"/>
        </w:rPr>
        <w:t xml:space="preserve"> </w:t>
      </w:r>
      <w:r>
        <w:rPr>
          <w:sz w:val="24"/>
          <w:szCs w:val="24"/>
        </w:rPr>
        <w:t>p</w:t>
      </w:r>
      <w:r>
        <w:rPr>
          <w:spacing w:val="-2"/>
          <w:sz w:val="24"/>
          <w:szCs w:val="24"/>
        </w:rPr>
        <w:t>o</w:t>
      </w:r>
      <w:r>
        <w:rPr>
          <w:sz w:val="24"/>
          <w:szCs w:val="24"/>
        </w:rPr>
        <w:t>m</w:t>
      </w:r>
      <w:r>
        <w:rPr>
          <w:spacing w:val="-2"/>
          <w:sz w:val="24"/>
          <w:szCs w:val="24"/>
        </w:rPr>
        <w:t>o</w:t>
      </w:r>
      <w:r>
        <w:rPr>
          <w:sz w:val="24"/>
          <w:szCs w:val="24"/>
        </w:rPr>
        <w:t>cniczego</w:t>
      </w:r>
      <w:r>
        <w:rPr>
          <w:spacing w:val="-2"/>
          <w:sz w:val="24"/>
          <w:szCs w:val="24"/>
        </w:rPr>
        <w:t xml:space="preserve"> oraz powołanie Komisji oceniającej</w:t>
      </w:r>
    </w:p>
    <w:p>
      <w:pPr>
        <w:pStyle w:val="Nagwek2"/>
        <w:spacing w:before="0" w:after="0"/>
        <w:ind w:left="0" w:right="301" w:hanging="0"/>
        <w:rPr>
          <w:b w:val="false"/>
          <w:b w:val="false"/>
          <w:bCs w:val="false"/>
          <w:sz w:val="24"/>
          <w:szCs w:val="24"/>
        </w:rPr>
      </w:pPr>
      <w:r>
        <w:rPr>
          <w:b w:val="false"/>
          <w:bCs w:val="false"/>
          <w:sz w:val="24"/>
          <w:szCs w:val="24"/>
        </w:rPr>
      </w:r>
    </w:p>
    <w:p>
      <w:pPr>
        <w:pStyle w:val="Western"/>
        <w:ind w:left="113" w:right="0" w:hanging="0"/>
        <w:rPr>
          <w:rFonts w:ascii="Times New Roman" w:hAnsi="Times New Roman"/>
        </w:rPr>
      </w:pPr>
      <w:r>
        <w:rPr>
          <w:rFonts w:ascii="Times New Roman" w:hAnsi="Times New Roman"/>
          <w:color w:val="2F5496"/>
        </w:rPr>
        <w:t>§ 12. [Wniosek]</w:t>
      </w:r>
    </w:p>
    <w:p>
      <w:pPr>
        <w:pStyle w:val="NormalWeb"/>
        <w:numPr>
          <w:ilvl w:val="0"/>
          <w:numId w:val="9"/>
        </w:numPr>
        <w:spacing w:beforeAutospacing="0" w:before="280" w:after="0"/>
        <w:rPr/>
      </w:pPr>
      <w:r>
        <w:rPr/>
        <w:t xml:space="preserve">Postępowanie w sprawie nadania stopnia naukowego doktora wszczyna się na wniosek osoby ubiegającej się o nadanie stopnia naukowego. Wniosek składa się do Dyrektora Instytutu nadającego stopień naukowy (data złożenia wniosku przez Kandydata jest datą wszczęcia postępowania). Do wniosku, zawierającego: dane doktoranta (imię, nazwisko); propozycję osób do pełnienia funkcji promotora, promotorów lub promotora pomocniczego, załącza się: </w:t>
      </w:r>
    </w:p>
    <w:p>
      <w:pPr>
        <w:pStyle w:val="NormalWeb"/>
        <w:numPr>
          <w:ilvl w:val="0"/>
          <w:numId w:val="10"/>
        </w:numPr>
        <w:rPr/>
      </w:pPr>
      <w:r>
        <w:rPr/>
        <w:t>zgodę osoby/osób proponowanej/proponowanych na promotora/promotorów oraz jej/ich opinię co do możliwości sprawowania opieki nad doktoratem oraz opinię na temat projektu doktorskiego. W przypadku kandydatów na promotora lub promotora pomocniczego niebędących pracownikami KUL należy również dołączyć oświadczenie o spełnianiu wymogów do pełnienia funkcji promotora lub promotora pomocniczego i wykaz dorobku naukowego kandydata na promotora lub promotora pomocniczego;</w:t>
      </w:r>
    </w:p>
    <w:p>
      <w:pPr>
        <w:pStyle w:val="NormalWeb"/>
        <w:numPr>
          <w:ilvl w:val="0"/>
          <w:numId w:val="7"/>
        </w:numPr>
        <w:spacing w:beforeAutospacing="0" w:before="0" w:after="160"/>
        <w:rPr/>
      </w:pPr>
      <w:r>
        <w:rPr/>
        <w:t xml:space="preserve">opis projektu doktorskiego zawierający: tytuł rozprawy, określenie celu naukowego i znaczenie projektu naukowego (uzasadnienie wyboru tematu), główne założenia badawcze, opis wkładu, jaki wniesie rozwiązanie postawionego problemu do dorobku danej dyscypliny naukowej, </w:t>
      </w:r>
      <w:r>
        <w:rPr>
          <w:spacing w:val="-4"/>
        </w:rPr>
        <w:t xml:space="preserve">określenie </w:t>
      </w:r>
      <w:r>
        <w:rPr/>
        <w:t>metodyki badań i literatury, obejmującej najważniejsze i najnowsze publikacje w języku polskim i językach obcych, a nadto przewidywany termin złożenia rozprawy i jej</w:t>
      </w:r>
      <w:r>
        <w:rPr>
          <w:spacing w:val="-2"/>
        </w:rPr>
        <w:t xml:space="preserve"> </w:t>
      </w:r>
      <w:r>
        <w:rPr/>
        <w:t>plan;</w:t>
      </w:r>
    </w:p>
    <w:p>
      <w:pPr>
        <w:pStyle w:val="NormalWeb"/>
        <w:numPr>
          <w:ilvl w:val="0"/>
          <w:numId w:val="7"/>
        </w:numPr>
        <w:spacing w:beforeAutospacing="0" w:before="0" w:after="160"/>
        <w:rPr/>
      </w:pPr>
      <w:r>
        <w:rPr/>
        <w:t>opinię osób proponowanych do pełnienia funkcji promotora lub promotora pomocniczego co do możliwości sprawowania opieki naukowej nad doktorantem oraz na temat przedstawionego przez niego projektu</w:t>
      </w:r>
      <w:r>
        <w:rPr>
          <w:spacing w:val="-4"/>
        </w:rPr>
        <w:t xml:space="preserve"> </w:t>
      </w:r>
      <w:r>
        <w:rPr/>
        <w:t>doktorskiego;</w:t>
      </w:r>
    </w:p>
    <w:p>
      <w:pPr>
        <w:pStyle w:val="NormalWeb"/>
        <w:numPr>
          <w:ilvl w:val="0"/>
          <w:numId w:val="7"/>
        </w:numPr>
        <w:spacing w:beforeAutospacing="0" w:before="0" w:after="160"/>
        <w:rPr/>
      </w:pPr>
      <w:r>
        <w:rPr>
          <w:color w:val="000000"/>
        </w:rPr>
        <w:t>odpis dyplomu magisterskiego lub równoważnego;</w:t>
      </w:r>
    </w:p>
    <w:p>
      <w:pPr>
        <w:pStyle w:val="NormalWeb"/>
        <w:numPr>
          <w:ilvl w:val="0"/>
          <w:numId w:val="7"/>
        </w:numPr>
        <w:spacing w:beforeAutospacing="0" w:before="0" w:after="160"/>
        <w:rPr/>
      </w:pPr>
      <w:r>
        <w:rPr>
          <w:color w:val="000000"/>
        </w:rPr>
        <w:t>życiorys;</w:t>
      </w:r>
    </w:p>
    <w:p>
      <w:pPr>
        <w:pStyle w:val="NormalWeb"/>
        <w:numPr>
          <w:ilvl w:val="0"/>
          <w:numId w:val="7"/>
        </w:numPr>
        <w:spacing w:beforeAutospacing="0" w:before="0" w:after="160"/>
        <w:rPr/>
      </w:pPr>
      <w:r>
        <w:rPr>
          <w:color w:val="000000"/>
        </w:rPr>
        <w:t xml:space="preserve">wykaz prac naukowych zawierający publikację wskazaną w </w:t>
      </w:r>
      <w:r>
        <w:rPr/>
        <w:t>§ 6 pkt. c;</w:t>
      </w:r>
    </w:p>
    <w:p>
      <w:pPr>
        <w:pStyle w:val="NormalWeb"/>
        <w:numPr>
          <w:ilvl w:val="0"/>
          <w:numId w:val="7"/>
        </w:numPr>
        <w:spacing w:beforeAutospacing="0" w:before="0" w:after="160"/>
        <w:rPr/>
      </w:pPr>
      <w:r>
        <w:rPr/>
        <w:t>informację o przebiegu przewodu doktorskiego lub postępowania w sprawie nadania stopnia doktora, jeżeli kandydat ubiegał się uprzednio o nadanie stopnia doktora, w tym tytuły rozpraw doktorskich będących podstawą ubiegania się o nadanie stopnia</w:t>
      </w:r>
      <w:r>
        <w:rPr>
          <w:spacing w:val="-4"/>
        </w:rPr>
        <w:t xml:space="preserve"> </w:t>
      </w:r>
      <w:r>
        <w:rPr/>
        <w:t>doktora;</w:t>
      </w:r>
    </w:p>
    <w:p>
      <w:pPr>
        <w:pStyle w:val="NormalWeb"/>
        <w:numPr>
          <w:ilvl w:val="0"/>
          <w:numId w:val="7"/>
        </w:numPr>
        <w:spacing w:beforeAutospacing="0" w:before="0" w:after="160"/>
        <w:rPr/>
      </w:pPr>
      <w:r>
        <w:rPr/>
        <w:t xml:space="preserve">certyfikat potwierdzający znajomość języka obcego – jeśli kandydat posiada. Wykaz certyfikatów potwierdzających znajomość nowożytnego języka obcego stanowi załącznik nr 1 do rozporządzenia Ministra Nauki i Szkolnictwa Wyższego z dnia 19 stycznia 2018 r. w sprawie szczegółowego trybu i warunków przeprowadzania czynności w przewodzie doktorskim, w postępowaniu habilitacyjnym oraz w postępowaniu o nadanie tytułu profesora (poz. 261). </w:t>
      </w:r>
    </w:p>
    <w:p>
      <w:pPr>
        <w:pStyle w:val="NormalWeb"/>
        <w:ind w:left="720" w:right="108" w:firstLine="696"/>
        <w:rPr/>
      </w:pPr>
      <w:r>
        <w:rPr/>
        <w:t xml:space="preserve">W przypadku braku wymienionych poświadczeń konieczny jest wniosek do Dyrektora Instytutu o przeprowadzenie weryfikacji znajomości języka obcego nowożytnego na poziomie biegłości językowej co najmniej B2. Weryfikacji dokonuje 3-osobowa Komisja, powołana przez Radę Instytutu Literaturoznawstwa, składająca się z przewodniczącego i dwóch członków (w tym egzaminatora oraz samodzielnego pracownika Instytutu). W przypadku niezdania egzaminu z języka obcego nowożytnego na wymaganym poziomie B2 Rada Instytutu Literaturoznawstwa przeprowadzająca przewód doktorski na wniosek kandydata może wyrazić zgodę na powtórne zdawanie tego egzaminu, nie wcześniej jednak niż po upływie trzech miesięcy od dnia przystąpienia do tego egzaminu po raz pierwszy i nie więcej niż raz. </w:t>
      </w:r>
      <w:bookmarkStart w:id="0" w:name="_Hlk71755585"/>
      <w:bookmarkEnd w:id="0"/>
    </w:p>
    <w:p>
      <w:pPr>
        <w:pStyle w:val="Western"/>
        <w:ind w:left="720" w:right="108" w:hanging="0"/>
        <w:rPr>
          <w:rFonts w:ascii="Times New Roman" w:hAnsi="Times New Roman"/>
          <w:color w:val="00B050"/>
        </w:rPr>
      </w:pPr>
      <w:r>
        <w:rPr>
          <w:rFonts w:ascii="Times New Roman" w:hAnsi="Times New Roman"/>
          <w:color w:val="00B050"/>
        </w:rPr>
      </w:r>
    </w:p>
    <w:p>
      <w:pPr>
        <w:pStyle w:val="Western"/>
        <w:ind w:left="0" w:right="0" w:hanging="0"/>
        <w:rPr>
          <w:rFonts w:ascii="Times New Roman" w:hAnsi="Times New Roman"/>
        </w:rPr>
      </w:pPr>
      <w:r>
        <w:rPr>
          <w:rFonts w:ascii="Times New Roman" w:hAnsi="Times New Roman"/>
        </w:rPr>
        <w:t>2. W przypadku planów przygotowywania rozprawy w języku innym niż język polski kandydat składa dodatkowo wniosek skierowany do Rady Instytutu o wyrażenie zgody na przygotowywania rozprawy we wskazanym języku.</w:t>
      </w:r>
    </w:p>
    <w:p>
      <w:pPr>
        <w:pStyle w:val="Western"/>
        <w:ind w:left="0" w:right="0" w:hanging="0"/>
        <w:rPr>
          <w:rFonts w:ascii="Times New Roman" w:hAnsi="Times New Roman"/>
        </w:rPr>
      </w:pPr>
      <w:r>
        <w:rPr>
          <w:rFonts w:ascii="Times New Roman" w:hAnsi="Times New Roman"/>
        </w:rPr>
        <w:t xml:space="preserve">3. Dla celów oceny wniosku określonego w pkt. </w:t>
      </w:r>
      <w:r>
        <w:rPr>
          <w:rFonts w:ascii="Times New Roman" w:hAnsi="Times New Roman"/>
          <w:smallCaps/>
        </w:rPr>
        <w:t>1</w:t>
      </w:r>
      <w:r>
        <w:rPr>
          <w:rFonts w:ascii="Times New Roman" w:hAnsi="Times New Roman"/>
        </w:rPr>
        <w:t xml:space="preserve"> Rada Instytutu powołuje Komisję oceniającą. W skład komisji wchodzą Dyrektor Instytutu oraz dwóch pracowników Instytutu posiadających co najmniej stopień naukowy doktora habilitowanego powołanych przez Radę Instytutu, a wskazanych przez Dyrektora Instytutu. Rada Instytutu może poszerzyć skład Komisji oceniającej o dalszych członków posiadających co najmniej stopień naukowy doktora habilitowanego, nie więcej jednak niż do siedmiu członków.</w:t>
      </w:r>
    </w:p>
    <w:p>
      <w:pPr>
        <w:pStyle w:val="Western"/>
        <w:ind w:left="0" w:right="0" w:hanging="0"/>
        <w:rPr>
          <w:rFonts w:ascii="Times New Roman" w:hAnsi="Times New Roman"/>
        </w:rPr>
      </w:pPr>
      <w:r>
        <w:rPr>
          <w:rFonts w:ascii="Times New Roman" w:hAnsi="Times New Roman"/>
        </w:rPr>
        <w:t xml:space="preserve">4. Członkiem Komisji oceniającej nie może być kandydat na promotora lub promotora pomocniczego. Jeżeli Dyrektor Instytutu jest kandydatem na promotora lub promotora pomocniczego, w jego miejsce w skład komisji wchodzi Zastępca Dyrektora Instytutu. </w:t>
      </w:r>
    </w:p>
    <w:p>
      <w:pPr>
        <w:pStyle w:val="Western"/>
        <w:ind w:left="0" w:right="0" w:hanging="0"/>
        <w:rPr>
          <w:rFonts w:ascii="Times New Roman" w:hAnsi="Times New Roman"/>
        </w:rPr>
      </w:pPr>
      <w:r>
        <w:rPr>
          <w:rFonts w:ascii="Times New Roman" w:hAnsi="Times New Roman"/>
        </w:rPr>
        <w:t xml:space="preserve">5. Dyrektor Instytutu wyznacza spośród członków Komisji oceniającej jej sekretarza. </w:t>
      </w:r>
    </w:p>
    <w:p>
      <w:pPr>
        <w:pStyle w:val="Western"/>
        <w:ind w:left="0" w:right="0" w:hanging="0"/>
        <w:rPr>
          <w:rFonts w:ascii="Times New Roman" w:hAnsi="Times New Roman"/>
        </w:rPr>
      </w:pPr>
      <w:r>
        <w:rPr>
          <w:rFonts w:ascii="Times New Roman" w:hAnsi="Times New Roman"/>
        </w:rPr>
        <w:t>6. Komisja sporządza pisemną opinię dotyczącą złożonego wniosku po zapoznaniu się z dokumentacją doktoranta. Na życzenie Komisji oceniającej może zostać ustalone osobne spotkanie z doktorantem w celu rozmowy z nim. Wówczas Komisja oceniająca sporządza pisemną opinię po spotkaniu z doktorantem.</w:t>
      </w:r>
    </w:p>
    <w:p>
      <w:pPr>
        <w:pStyle w:val="NormalWeb"/>
        <w:ind w:left="0" w:right="108" w:hanging="0"/>
        <w:rPr>
          <w:color w:val="2F5496"/>
        </w:rPr>
      </w:pPr>
      <w:r>
        <w:rPr>
          <w:color w:val="2F5496"/>
        </w:rPr>
      </w:r>
    </w:p>
    <w:p>
      <w:pPr>
        <w:pStyle w:val="NormalWeb"/>
        <w:ind w:left="0" w:right="108" w:hanging="0"/>
        <w:rPr/>
      </w:pPr>
      <w:r>
        <w:rPr>
          <w:color w:val="2F5496"/>
        </w:rPr>
        <w:t>§ 13. [Wyznaczenie promotora lub promotorów]</w:t>
      </w:r>
    </w:p>
    <w:p>
      <w:pPr>
        <w:pStyle w:val="NormalWeb"/>
        <w:ind w:left="0" w:right="108" w:hanging="0"/>
        <w:rPr/>
      </w:pPr>
      <w:r>
        <w:rPr/>
        <w:t>1. Rada Instytutu w drodze uchwały, po zapoznaniu się z opinią Komisji oceniającej, o której mowa w § 12 pkt</w:t>
      </w:r>
      <w:r>
        <w:rPr>
          <w:spacing w:val="-2"/>
        </w:rPr>
        <w:t xml:space="preserve"> </w:t>
      </w:r>
      <w:r>
        <w:rPr>
          <w:smallCaps/>
        </w:rPr>
        <w:t>3</w:t>
      </w:r>
      <w:r>
        <w:rPr/>
        <w:t>:</w:t>
      </w:r>
    </w:p>
    <w:p>
      <w:pPr>
        <w:pStyle w:val="NormalWeb"/>
        <w:numPr>
          <w:ilvl w:val="0"/>
          <w:numId w:val="2"/>
        </w:numPr>
        <w:ind w:left="720" w:right="0" w:hanging="360"/>
        <w:rPr/>
      </w:pPr>
      <w:r>
        <w:rPr/>
        <w:t>wyznacza:</w:t>
      </w:r>
    </w:p>
    <w:p>
      <w:pPr>
        <w:pStyle w:val="NormalWeb"/>
        <w:ind w:left="598" w:right="0" w:firstLine="595"/>
        <w:rPr/>
      </w:pPr>
      <w:r>
        <w:rPr/>
        <w:t xml:space="preserve">– </w:t>
      </w:r>
      <w:r>
        <w:rPr/>
        <w:t>promotora</w:t>
      </w:r>
      <w:r>
        <w:rPr>
          <w:spacing w:val="-2"/>
        </w:rPr>
        <w:t xml:space="preserve"> </w:t>
      </w:r>
      <w:r>
        <w:rPr/>
        <w:t>albo</w:t>
      </w:r>
    </w:p>
    <w:p>
      <w:pPr>
        <w:pStyle w:val="NormalWeb"/>
        <w:ind w:left="598" w:right="0" w:firstLine="595"/>
        <w:rPr/>
      </w:pPr>
      <w:r>
        <w:rPr/>
        <w:t xml:space="preserve">– </w:t>
      </w:r>
      <w:r>
        <w:rPr/>
        <w:t>promotorów</w:t>
      </w:r>
      <w:r>
        <w:rPr>
          <w:spacing w:val="-2"/>
        </w:rPr>
        <w:t xml:space="preserve"> </w:t>
      </w:r>
      <w:r>
        <w:rPr/>
        <w:t>albo</w:t>
      </w:r>
    </w:p>
    <w:p>
      <w:pPr>
        <w:pStyle w:val="NormalWeb"/>
        <w:ind w:left="598" w:right="0" w:firstLine="595"/>
        <w:rPr/>
      </w:pPr>
      <w:r>
        <w:rPr/>
        <w:t xml:space="preserve">– </w:t>
      </w:r>
      <w:r>
        <w:rPr/>
        <w:t>promotora i promotora</w:t>
      </w:r>
      <w:r>
        <w:rPr>
          <w:spacing w:val="-2"/>
        </w:rPr>
        <w:t xml:space="preserve"> </w:t>
      </w:r>
      <w:r>
        <w:rPr/>
        <w:t>pomocniczego;</w:t>
      </w:r>
    </w:p>
    <w:p>
      <w:pPr>
        <w:pStyle w:val="NormalWeb"/>
        <w:numPr>
          <w:ilvl w:val="0"/>
          <w:numId w:val="2"/>
        </w:numPr>
        <w:ind w:left="720" w:right="0" w:hanging="360"/>
        <w:rPr/>
      </w:pPr>
      <w:r>
        <w:rPr/>
        <w:t xml:space="preserve">odmawia wyznaczenia osób, o których mowa w pkt. </w:t>
      </w:r>
      <w:r>
        <w:rPr>
          <w:smallCaps/>
        </w:rPr>
        <w:t>1</w:t>
      </w:r>
      <w:r>
        <w:rPr>
          <w:spacing w:val="-6"/>
        </w:rPr>
        <w:t xml:space="preserve"> </w:t>
      </w:r>
      <w:r>
        <w:rPr/>
        <w:t>a.</w:t>
      </w:r>
    </w:p>
    <w:p>
      <w:pPr>
        <w:pStyle w:val="NormalWeb"/>
        <w:rPr/>
      </w:pPr>
      <w:r>
        <w:rPr/>
        <w:t>2. Wyznaczenie więcej niż jednego promotora jest dopuszczalne w przypadku przygotowywania rozprawy doktorskiej o charakterze interdyscyplinarnym lub we współpracy z inną instytucją</w:t>
      </w:r>
      <w:r>
        <w:rPr>
          <w:spacing w:val="-2"/>
        </w:rPr>
        <w:t xml:space="preserve"> </w:t>
      </w:r>
      <w:r>
        <w:rPr/>
        <w:t>naukową.</w:t>
      </w:r>
    </w:p>
    <w:p>
      <w:pPr>
        <w:pStyle w:val="Western"/>
        <w:ind w:left="113" w:right="0" w:hanging="0"/>
        <w:rPr>
          <w:rFonts w:ascii="Times New Roman" w:hAnsi="Times New Roman"/>
        </w:rPr>
      </w:pPr>
      <w:r>
        <w:rPr>
          <w:rFonts w:ascii="Times New Roman" w:hAnsi="Times New Roman"/>
        </w:rPr>
      </w:r>
    </w:p>
    <w:p>
      <w:pPr>
        <w:pStyle w:val="Western"/>
        <w:ind w:left="0" w:right="0" w:hanging="0"/>
        <w:rPr>
          <w:rFonts w:ascii="Times New Roman" w:hAnsi="Times New Roman"/>
        </w:rPr>
      </w:pPr>
      <w:r>
        <w:rPr>
          <w:rFonts w:ascii="Times New Roman" w:hAnsi="Times New Roman"/>
          <w:color w:val="2F5496"/>
        </w:rPr>
        <w:t>§ 14. [Zmiana promotora lub promotora pomocniczego]</w:t>
      </w:r>
    </w:p>
    <w:p>
      <w:pPr>
        <w:pStyle w:val="NormalWeb"/>
        <w:ind w:left="0" w:right="0" w:hanging="0"/>
        <w:rPr/>
      </w:pPr>
      <w:r>
        <w:rPr/>
        <w:t>1. Rada Instytutu na pisemny wniosek może zmienić</w:t>
      </w:r>
      <w:r>
        <w:rPr>
          <w:spacing w:val="-2"/>
        </w:rPr>
        <w:t xml:space="preserve"> </w:t>
      </w:r>
      <w:r>
        <w:rPr/>
        <w:t>powołanego:</w:t>
      </w:r>
    </w:p>
    <w:p>
      <w:pPr>
        <w:pStyle w:val="NormalWeb"/>
        <w:numPr>
          <w:ilvl w:val="0"/>
          <w:numId w:val="3"/>
        </w:numPr>
        <w:ind w:left="720" w:right="0" w:hanging="360"/>
        <w:rPr/>
      </w:pPr>
      <w:r>
        <w:rPr/>
        <w:t>promotora lub promotorów;</w:t>
      </w:r>
    </w:p>
    <w:p>
      <w:pPr>
        <w:pStyle w:val="NormalWeb"/>
        <w:numPr>
          <w:ilvl w:val="0"/>
          <w:numId w:val="3"/>
        </w:numPr>
        <w:spacing w:beforeAutospacing="0" w:before="0" w:after="160"/>
        <w:ind w:left="720" w:right="0" w:hanging="360"/>
        <w:rPr/>
      </w:pPr>
      <w:r>
        <w:rPr/>
        <w:t>promotora pomocniczego.</w:t>
      </w:r>
    </w:p>
    <w:p>
      <w:pPr>
        <w:pStyle w:val="NormalWeb"/>
        <w:rPr/>
      </w:pPr>
      <w:r>
        <w:rPr/>
        <w:t xml:space="preserve">2. Wniosek o zmianę promotora lub promotora pomocniczego mogą złożyć osoby, o których mowa w pkt. </w:t>
      </w:r>
      <w:r>
        <w:rPr>
          <w:smallCaps/>
        </w:rPr>
        <w:t>1</w:t>
      </w:r>
      <w:r>
        <w:rPr/>
        <w:t xml:space="preserve"> lub kandydat, dla którego powołano te</w:t>
      </w:r>
      <w:r>
        <w:rPr>
          <w:spacing w:val="-4"/>
        </w:rPr>
        <w:t xml:space="preserve"> </w:t>
      </w:r>
      <w:r>
        <w:rPr/>
        <w:t>osoby.</w:t>
      </w:r>
    </w:p>
    <w:p>
      <w:pPr>
        <w:pStyle w:val="NormalWeb"/>
        <w:ind w:left="113" w:right="0" w:hanging="0"/>
        <w:rPr/>
      </w:pPr>
      <w:r>
        <w:rPr/>
        <w:t>3. W</w:t>
      </w:r>
      <w:r>
        <w:rPr>
          <w:spacing w:val="-2"/>
        </w:rPr>
        <w:t xml:space="preserve"> </w:t>
      </w:r>
      <w:r>
        <w:rPr/>
        <w:t>przypadku:</w:t>
      </w:r>
    </w:p>
    <w:p>
      <w:pPr>
        <w:pStyle w:val="NormalWeb"/>
        <w:numPr>
          <w:ilvl w:val="0"/>
          <w:numId w:val="4"/>
        </w:numPr>
        <w:ind w:left="720" w:right="0" w:hanging="360"/>
        <w:rPr/>
      </w:pPr>
      <w:r>
        <w:rPr/>
        <w:t>rezygnacji promotora/promotora</w:t>
      </w:r>
      <w:r>
        <w:rPr>
          <w:spacing w:val="-2"/>
        </w:rPr>
        <w:t xml:space="preserve"> </w:t>
      </w:r>
      <w:r>
        <w:rPr/>
        <w:t>pomocniczego;</w:t>
      </w:r>
    </w:p>
    <w:p>
      <w:pPr>
        <w:pStyle w:val="NormalWeb"/>
        <w:numPr>
          <w:ilvl w:val="0"/>
          <w:numId w:val="4"/>
        </w:numPr>
        <w:spacing w:beforeAutospacing="0" w:before="0" w:after="160"/>
        <w:ind w:left="720" w:right="0" w:hanging="360"/>
        <w:rPr/>
      </w:pPr>
      <w:r>
        <w:rPr/>
        <w:t>śmierci promotora/promotora pomocniczego lub uznania go za</w:t>
      </w:r>
      <w:r>
        <w:rPr>
          <w:spacing w:val="-4"/>
        </w:rPr>
        <w:t xml:space="preserve"> </w:t>
      </w:r>
      <w:r>
        <w:rPr/>
        <w:t>zmarłego;</w:t>
      </w:r>
    </w:p>
    <w:p>
      <w:pPr>
        <w:pStyle w:val="NormalWeb"/>
        <w:numPr>
          <w:ilvl w:val="0"/>
          <w:numId w:val="4"/>
        </w:numPr>
        <w:spacing w:beforeAutospacing="0" w:before="0" w:after="160"/>
        <w:rPr/>
      </w:pPr>
      <w:r>
        <w:rPr/>
        <w:t xml:space="preserve">zaistnienia okoliczności długotrwale uniemożliwiających lub </w:t>
      </w:r>
      <w:r>
        <w:rPr>
          <w:spacing w:val="-4"/>
        </w:rPr>
        <w:t xml:space="preserve">poważnie </w:t>
      </w:r>
      <w:r>
        <w:rPr/>
        <w:t>utrudniających pełnienie funkcji promotora/promotora</w:t>
      </w:r>
      <w:r>
        <w:rPr>
          <w:spacing w:val="-2"/>
        </w:rPr>
        <w:t xml:space="preserve"> </w:t>
      </w:r>
      <w:r>
        <w:rPr/>
        <w:t>pomocniczego;</w:t>
      </w:r>
    </w:p>
    <w:p>
      <w:pPr>
        <w:pStyle w:val="NormalWeb"/>
        <w:numPr>
          <w:ilvl w:val="0"/>
          <w:numId w:val="4"/>
        </w:numPr>
        <w:spacing w:beforeAutospacing="0" w:before="0" w:after="160"/>
        <w:ind w:left="720" w:right="0" w:hanging="360"/>
        <w:rPr/>
      </w:pPr>
      <w:r>
        <w:rPr/>
        <w:t>utraty przez promotora/promotora pomocniczego prawa do pełnienia tej</w:t>
      </w:r>
      <w:r>
        <w:rPr>
          <w:spacing w:val="-6"/>
        </w:rPr>
        <w:t xml:space="preserve"> </w:t>
      </w:r>
      <w:r>
        <w:rPr/>
        <w:t>funkcji</w:t>
      </w:r>
    </w:p>
    <w:p>
      <w:pPr>
        <w:pStyle w:val="NormalWeb"/>
        <w:rPr/>
      </w:pPr>
      <w:r>
        <w:rPr/>
        <w:t xml:space="preserve">– </w:t>
      </w:r>
      <w:r>
        <w:rPr/>
        <w:t xml:space="preserve">Dyrektor Instytutu wzywa kandydata do złożenia wniosku o zmianę odpowiednio promotora/promotora pomocniczego w terminie </w:t>
      </w:r>
      <w:r>
        <w:rPr>
          <w:smallCaps/>
        </w:rPr>
        <w:t>1</w:t>
      </w:r>
      <w:r>
        <w:rPr/>
        <w:t>4 dni od doręczenia tego</w:t>
      </w:r>
      <w:r>
        <w:rPr>
          <w:spacing w:val="-10"/>
        </w:rPr>
        <w:t xml:space="preserve"> </w:t>
      </w:r>
      <w:r>
        <w:rPr/>
        <w:t>wezwania.</w:t>
      </w:r>
    </w:p>
    <w:p>
      <w:pPr>
        <w:pStyle w:val="NormalWeb"/>
        <w:rPr/>
      </w:pPr>
      <w:r>
        <w:rPr/>
        <w:t>4. W przypadku niezłożenia wniosku o wyznaczenie nowego promotora w terminie wskazanym w ust. 3 Rada Instytutu z urzędu wyznacza nowego</w:t>
      </w:r>
      <w:r>
        <w:rPr>
          <w:spacing w:val="-12"/>
        </w:rPr>
        <w:t xml:space="preserve"> </w:t>
      </w:r>
      <w:r>
        <w:rPr/>
        <w:t>promotora.</w:t>
      </w:r>
    </w:p>
    <w:p>
      <w:pPr>
        <w:pStyle w:val="NormalWeb"/>
        <w:rPr/>
      </w:pPr>
      <w:r>
        <w:rPr/>
        <w:t>5. W przypadku niezłożenia wniosku o wyznaczenie nowego promotora pomocniczego w terminie wskazanym w pkt. 3, dalsze postępowanie prowadzi się bez udziału promotora pomocniczego.</w:t>
      </w:r>
    </w:p>
    <w:p>
      <w:pPr>
        <w:pStyle w:val="Western"/>
        <w:ind w:left="0" w:right="0" w:hanging="0"/>
        <w:rPr>
          <w:rFonts w:ascii="Times New Roman" w:hAnsi="Times New Roman"/>
        </w:rPr>
      </w:pPr>
      <w:r>
        <w:rPr>
          <w:rFonts w:ascii="Times New Roman" w:hAnsi="Times New Roman"/>
        </w:rPr>
      </w:r>
    </w:p>
    <w:p>
      <w:pPr>
        <w:pStyle w:val="Nagwek2"/>
        <w:spacing w:beforeAutospacing="0" w:before="0" w:after="0"/>
        <w:ind w:left="0" w:right="301" w:hanging="0"/>
        <w:rPr>
          <w:sz w:val="24"/>
          <w:szCs w:val="24"/>
        </w:rPr>
      </w:pPr>
      <w:r>
        <w:rPr>
          <w:sz w:val="24"/>
          <w:szCs w:val="24"/>
        </w:rPr>
        <w:t>R</w:t>
      </w:r>
      <w:r>
        <w:rPr>
          <w:spacing w:val="-2"/>
          <w:sz w:val="24"/>
          <w:szCs w:val="24"/>
        </w:rPr>
        <w:t>o</w:t>
      </w:r>
      <w:r>
        <w:rPr>
          <w:sz w:val="24"/>
          <w:szCs w:val="24"/>
        </w:rPr>
        <w:t>zdział</w:t>
      </w:r>
      <w:r>
        <w:rPr>
          <w:spacing w:val="-2"/>
          <w:sz w:val="24"/>
          <w:szCs w:val="24"/>
        </w:rPr>
        <w:t xml:space="preserve"> 5</w:t>
      </w:r>
      <w:r>
        <w:rPr>
          <w:sz w:val="24"/>
          <w:szCs w:val="24"/>
        </w:rPr>
        <w:t>. Weryfikacja efekt</w:t>
      </w:r>
      <w:r>
        <w:rPr>
          <w:spacing w:val="-2"/>
          <w:sz w:val="24"/>
          <w:szCs w:val="24"/>
        </w:rPr>
        <w:t>ó</w:t>
      </w:r>
      <w:r>
        <w:rPr>
          <w:sz w:val="24"/>
          <w:szCs w:val="24"/>
        </w:rPr>
        <w:t>w uczenia się – powołanie Komisji egzaminacyjnej</w:t>
      </w:r>
    </w:p>
    <w:p>
      <w:pPr>
        <w:pStyle w:val="Western"/>
        <w:ind w:left="0" w:right="0" w:hanging="0"/>
        <w:rPr>
          <w:rFonts w:ascii="Times New Roman" w:hAnsi="Times New Roman"/>
        </w:rPr>
      </w:pPr>
      <w:r>
        <w:rPr>
          <w:rFonts w:ascii="Times New Roman" w:hAnsi="Times New Roman"/>
        </w:rPr>
      </w:r>
    </w:p>
    <w:p>
      <w:pPr>
        <w:pStyle w:val="Nagwek1"/>
        <w:spacing w:lineRule="auto" w:line="240" w:beforeAutospacing="0" w:before="0" w:after="0"/>
        <w:rPr>
          <w:rFonts w:ascii="Times New Roman" w:hAnsi="Times New Roman" w:cs="Times New Roman"/>
          <w:sz w:val="24"/>
          <w:szCs w:val="24"/>
        </w:rPr>
      </w:pPr>
      <w:r>
        <w:rPr>
          <w:rFonts w:cs="Times New Roman" w:ascii="Times New Roman" w:hAnsi="Times New Roman"/>
          <w:color w:val="2F5496"/>
          <w:sz w:val="24"/>
          <w:szCs w:val="24"/>
        </w:rPr>
        <w:t>§15 [Przeprowadzenie weryfikacji]</w:t>
      </w:r>
    </w:p>
    <w:p>
      <w:pPr>
        <w:pStyle w:val="Western"/>
        <w:ind w:left="0" w:right="0" w:hanging="0"/>
        <w:rPr>
          <w:rFonts w:ascii="Times New Roman" w:hAnsi="Times New Roman"/>
          <w:color w:val="000000" w:themeColor="text1"/>
        </w:rPr>
      </w:pPr>
      <w:r>
        <w:rPr>
          <w:rFonts w:ascii="Times New Roman" w:hAnsi="Times New Roman"/>
        </w:rPr>
        <w:t xml:space="preserve">1. Wobec kandydata przeprowadza się weryfikację efektów uczenia się dla kwalifikacji na poziomie 8. Polskiej Ramy Kwalifikacji, o których mowa w § 6 pkt. </w:t>
      </w:r>
      <w:r>
        <w:rPr>
          <w:rFonts w:ascii="Times New Roman" w:hAnsi="Times New Roman"/>
          <w:smallCaps/>
        </w:rPr>
        <w:t>1</w:t>
      </w:r>
      <w:r>
        <w:rPr>
          <w:rFonts w:ascii="Times New Roman" w:hAnsi="Times New Roman"/>
        </w:rPr>
        <w:t xml:space="preserve">b, fakultatywnie w formie egzaminów uzupełniających (tylko jeśli kandydat wykazuje braki określonych efektów) oraz obligatoryjnie w formie 1 egzaminu z zakresu dyscypliny podstawowej </w:t>
      </w:r>
      <w:r>
        <w:rPr>
          <w:rFonts w:ascii="Times New Roman" w:hAnsi="Times New Roman"/>
          <w:color w:val="000000" w:themeColor="text1"/>
        </w:rPr>
        <w:t>literaturoznawstwo.</w:t>
      </w:r>
    </w:p>
    <w:p>
      <w:pPr>
        <w:pStyle w:val="Western"/>
        <w:ind w:left="0" w:right="0" w:hanging="0"/>
        <w:rPr>
          <w:rFonts w:ascii="Times New Roman" w:hAnsi="Times New Roman"/>
        </w:rPr>
      </w:pPr>
      <w:r>
        <w:rPr>
          <w:rFonts w:ascii="Times New Roman" w:hAnsi="Times New Roman"/>
        </w:rPr>
      </w:r>
    </w:p>
    <w:p>
      <w:pPr>
        <w:pStyle w:val="Nagwek1"/>
        <w:spacing w:lineRule="auto" w:line="240" w:beforeAutospacing="0" w:before="0" w:after="0"/>
        <w:rPr>
          <w:rFonts w:ascii="Times New Roman" w:hAnsi="Times New Roman" w:cs="Times New Roman"/>
          <w:sz w:val="24"/>
          <w:szCs w:val="24"/>
        </w:rPr>
      </w:pPr>
      <w:r>
        <w:rPr>
          <w:rFonts w:cs="Times New Roman" w:ascii="Times New Roman" w:hAnsi="Times New Roman"/>
          <w:color w:val="2F5496"/>
          <w:sz w:val="24"/>
          <w:szCs w:val="24"/>
        </w:rPr>
        <w:t xml:space="preserve">§ </w:t>
      </w:r>
      <w:r>
        <w:rPr>
          <w:rFonts w:cs="Times New Roman" w:ascii="Times New Roman" w:hAnsi="Times New Roman"/>
          <w:smallCaps/>
          <w:color w:val="2F5496"/>
          <w:sz w:val="24"/>
          <w:szCs w:val="24"/>
        </w:rPr>
        <w:t>16</w:t>
      </w:r>
      <w:r>
        <w:rPr>
          <w:rFonts w:cs="Times New Roman" w:ascii="Times New Roman" w:hAnsi="Times New Roman"/>
          <w:color w:val="2F5496"/>
          <w:sz w:val="24"/>
          <w:szCs w:val="24"/>
        </w:rPr>
        <w:t xml:space="preserve"> [Skład i zadania Komisji egzaminacyjnej]</w:t>
      </w:r>
    </w:p>
    <w:p>
      <w:pPr>
        <w:pStyle w:val="Western"/>
        <w:ind w:left="0" w:right="0" w:hanging="0"/>
        <w:rPr>
          <w:rFonts w:ascii="Times New Roman" w:hAnsi="Times New Roman"/>
        </w:rPr>
      </w:pPr>
      <w:r>
        <w:rPr>
          <w:rFonts w:ascii="Times New Roman" w:hAnsi="Times New Roman"/>
        </w:rPr>
        <w:t xml:space="preserve">1. Dla wszczętego postępowania w sprawie nadania stopnia naukowego doktora </w:t>
      </w:r>
      <w:r>
        <w:rPr>
          <w:rFonts w:ascii="Times New Roman" w:hAnsi="Times New Roman"/>
          <w:color w:val="000000" w:themeColor="text1"/>
          <w:spacing w:val="-4"/>
        </w:rPr>
        <w:t xml:space="preserve">Rada </w:t>
      </w:r>
      <w:r>
        <w:rPr>
          <w:rFonts w:ascii="Times New Roman" w:hAnsi="Times New Roman"/>
          <w:color w:val="000000" w:themeColor="text1"/>
        </w:rPr>
        <w:t xml:space="preserve">Instytutu, </w:t>
      </w:r>
      <w:r>
        <w:rPr>
          <w:rFonts w:ascii="Times New Roman" w:hAnsi="Times New Roman"/>
        </w:rPr>
        <w:t>na wniosek Dyrektora Instytutu, powołuje pięciu członków Komisji egzaminacyjnej oraz zatwierdza zakres egzaminu z dyscypliny podstawowej.</w:t>
      </w:r>
    </w:p>
    <w:p>
      <w:pPr>
        <w:pStyle w:val="Western"/>
        <w:ind w:left="0" w:right="0" w:hanging="0"/>
        <w:rPr>
          <w:rFonts w:ascii="Times New Roman" w:hAnsi="Times New Roman"/>
        </w:rPr>
      </w:pPr>
      <w:r>
        <w:rPr>
          <w:rFonts w:ascii="Times New Roman" w:hAnsi="Times New Roman"/>
        </w:rPr>
        <w:t>2.W skład Komisji egzaminacyjnej wchodzi:</w:t>
      </w:r>
    </w:p>
    <w:p>
      <w:pPr>
        <w:pStyle w:val="Nagwek1"/>
        <w:spacing w:lineRule="auto" w:line="240" w:beforeAutospacing="0" w:before="0" w:after="0"/>
        <w:ind w:left="708" w:hanging="0"/>
        <w:jc w:val="both"/>
        <w:rPr>
          <w:rFonts w:ascii="Times New Roman" w:hAnsi="Times New Roman" w:cs="Times New Roman"/>
          <w:color w:val="auto"/>
          <w:sz w:val="24"/>
          <w:szCs w:val="24"/>
        </w:rPr>
      </w:pPr>
      <w:r>
        <w:rPr>
          <w:rFonts w:cs="Times New Roman" w:ascii="Times New Roman" w:hAnsi="Times New Roman"/>
          <w:sz w:val="24"/>
          <w:szCs w:val="24"/>
        </w:rPr>
        <w:t xml:space="preserve">– </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pięciu członków z tytułem co najmniej doktora habilitowanego wskazanych przez Dyrektora Instytutu spośród Rady Instytutu; spośród nich Dyrektor Instytutu wyznacza przewodniczącego oraz sekretarza Komisji egzaminacyjnej. W uzasadnionych przypadkach, w szczególności w przypadku zbieżności prowadzonych badań naukowych z tematem rozprawy doktorskiej, członkiem Komisji egzaminacyjnej może być nauczyciel akademicki posiadający stopień</w:t>
      </w:r>
      <w:r>
        <w:rPr>
          <w:rFonts w:cs="Times New Roman" w:ascii="Times New Roman" w:hAnsi="Times New Roman"/>
          <w:color w:val="000000"/>
          <w:spacing w:val="-4"/>
          <w:sz w:val="24"/>
          <w:szCs w:val="24"/>
        </w:rPr>
        <w:t xml:space="preserve"> </w:t>
      </w:r>
      <w:r>
        <w:rPr>
          <w:rFonts w:cs="Times New Roman" w:ascii="Times New Roman" w:hAnsi="Times New Roman"/>
          <w:color w:val="auto"/>
          <w:sz w:val="24"/>
          <w:szCs w:val="24"/>
        </w:rPr>
        <w:t>doktora.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Kandydatów na członków Komisji egzaminacyjnej zgłasza Dyrektor Instytutu lub co najmniej trzech członków Rady Instytutu.</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Członkiem Komisji egzaminacyjnej nie może być osoba, co do której bezstronności istnieją uzasadnione wątpliwości.</w:t>
      </w:r>
    </w:p>
    <w:p>
      <w:pPr>
        <w:pStyle w:val="NormalWeb"/>
        <w:ind w:left="0" w:right="0" w:hanging="0"/>
        <w:rPr/>
      </w:pPr>
      <w:r>
        <w:rPr/>
        <w:t>5. Zadania Komisji egzaminacyjnej: sprawdzenie efektów kształcenia oraz przeprowadzenie ewentualnych egzaminów uzupełniających i obligatoryjnego egzaminu z zakresu dyscypliny podstawowej.</w:t>
      </w:r>
    </w:p>
    <w:p>
      <w:pPr>
        <w:pStyle w:val="NormalWeb"/>
        <w:ind w:left="0" w:right="0" w:hanging="0"/>
        <w:rPr/>
      </w:pPr>
      <w:r>
        <w:rPr/>
        <w:t>6 Pierwsze posiedzenie Komisji egzaminacyjnej zwołuje Dyrektor Instytutu.</w:t>
      </w:r>
    </w:p>
    <w:p>
      <w:pPr>
        <w:pStyle w:val="Western"/>
        <w:ind w:left="0" w:right="0" w:hanging="0"/>
        <w:rPr>
          <w:rFonts w:ascii="Times New Roman" w:hAnsi="Times New Roman"/>
        </w:rPr>
      </w:pPr>
      <w:r>
        <w:rPr>
          <w:rFonts w:ascii="Times New Roman" w:hAnsi="Times New Roman"/>
        </w:rPr>
        <w:t>7. O terminie i miejscu egzaminów kandydat jest informowany co najmniej na 14 dni przed egzaminem. W danym dniu kandydat nie może przystąpić do więcej niż jednego egzaminu.</w:t>
      </w:r>
    </w:p>
    <w:p>
      <w:pPr>
        <w:pStyle w:val="Western"/>
        <w:ind w:left="0" w:right="0" w:hanging="0"/>
        <w:rPr>
          <w:rFonts w:ascii="Times New Roman" w:hAnsi="Times New Roman"/>
        </w:rPr>
      </w:pPr>
      <w:r>
        <w:rPr>
          <w:rFonts w:ascii="Times New Roman" w:hAnsi="Times New Roman"/>
        </w:rPr>
        <w:t>8. Egzamin jest przeprowadzany w obecności co najmniej połowy ogólnej liczby członków Komisji egzaminacyjnej.</w:t>
      </w:r>
    </w:p>
    <w:p>
      <w:pPr>
        <w:pStyle w:val="Western"/>
        <w:ind w:left="0" w:right="0" w:hanging="0"/>
        <w:rPr>
          <w:rFonts w:ascii="Times New Roman" w:hAnsi="Times New Roman"/>
        </w:rPr>
      </w:pPr>
      <w:r>
        <w:rPr>
          <w:rFonts w:ascii="Times New Roman" w:hAnsi="Times New Roman"/>
        </w:rPr>
        <w:t>9. Komisja egzaminacyjna podejmuje czynności bezwzględną większością głosów, w obecności co najmniej połowy członków Komisji egzaminacyjnej.</w:t>
      </w:r>
    </w:p>
    <w:p>
      <w:pPr>
        <w:pStyle w:val="Western"/>
        <w:ind w:left="0" w:right="0" w:hanging="0"/>
        <w:rPr>
          <w:rFonts w:ascii="Times New Roman" w:hAnsi="Times New Roman"/>
        </w:rPr>
      </w:pPr>
      <w:r>
        <w:rPr>
          <w:rFonts w:ascii="Times New Roman" w:hAnsi="Times New Roman"/>
        </w:rPr>
        <w:t>10. Egzaminy podlegają ocenie. Przy wystawianiu oceny z egzaminu Komisja egzaminacyjna stosuje następujące oceny:</w:t>
      </w:r>
    </w:p>
    <w:p>
      <w:pPr>
        <w:pStyle w:val="Western"/>
        <w:ind w:left="0" w:right="0" w:firstLine="708"/>
        <w:rPr>
          <w:rFonts w:ascii="Times New Roman" w:hAnsi="Times New Roman"/>
        </w:rPr>
      </w:pPr>
      <w:r>
        <w:rPr>
          <w:rFonts w:ascii="Times New Roman" w:hAnsi="Times New Roman"/>
        </w:rPr>
        <w:t xml:space="preserve">a) pozytywna z wyróżnieniem albo </w:t>
      </w:r>
    </w:p>
    <w:p>
      <w:pPr>
        <w:pStyle w:val="Western"/>
        <w:ind w:left="0" w:right="0" w:firstLine="708"/>
        <w:rPr>
          <w:rFonts w:ascii="Times New Roman" w:hAnsi="Times New Roman"/>
        </w:rPr>
      </w:pPr>
      <w:r>
        <w:rPr>
          <w:rFonts w:ascii="Times New Roman" w:hAnsi="Times New Roman"/>
        </w:rPr>
        <w:t>b) pozytywna albo</w:t>
      </w:r>
    </w:p>
    <w:p>
      <w:pPr>
        <w:pStyle w:val="Western"/>
        <w:ind w:left="0" w:right="0" w:firstLine="708"/>
        <w:rPr>
          <w:rFonts w:ascii="Times New Roman" w:hAnsi="Times New Roman"/>
        </w:rPr>
      </w:pPr>
      <w:r>
        <w:rPr>
          <w:rFonts w:ascii="Times New Roman" w:hAnsi="Times New Roman"/>
        </w:rPr>
        <w:t xml:space="preserve">c) negatywna. </w:t>
      </w:r>
    </w:p>
    <w:p>
      <w:pPr>
        <w:pStyle w:val="Western"/>
        <w:ind w:left="0" w:right="0" w:hanging="0"/>
        <w:rPr>
          <w:rFonts w:ascii="Times New Roman" w:hAnsi="Times New Roman"/>
        </w:rPr>
      </w:pPr>
      <w:r>
        <w:rPr>
          <w:rFonts w:ascii="Times New Roman" w:hAnsi="Times New Roman"/>
        </w:rPr>
        <w:t xml:space="preserve">11. Przebieg egzaminu jest protokołowany przez sekretarza Komisji egzaminacyjnej. Protokół zawiera w szczególności treść zadanych pytań oraz ich ocenę. </w:t>
      </w:r>
    </w:p>
    <w:p>
      <w:pPr>
        <w:pStyle w:val="Western"/>
        <w:ind w:left="0" w:right="0" w:hanging="0"/>
        <w:rPr>
          <w:rFonts w:ascii="Times New Roman" w:hAnsi="Times New Roman"/>
        </w:rPr>
      </w:pPr>
      <w:r>
        <w:rPr>
          <w:rFonts w:ascii="Times New Roman" w:hAnsi="Times New Roman"/>
        </w:rPr>
        <w:t>12. Na wniosek kandydata złożony w terminie 14 dni od dnia wystawienia oceny negatywnej przeprowadza się powtórny egzamin. Powtórny egzamin odbywa się nie wcześniej niż po upływie trzech miesięcy od poprzedniego egzaminu. Egzamin może zostać powtórzony wyłącznie raz w związku z danym wnioskiem, o którym mowa w § 12 pkt 1 i w wyznaczonym do niego zakresie egzaminu.</w:t>
      </w:r>
    </w:p>
    <w:p>
      <w:pPr>
        <w:pStyle w:val="Western"/>
        <w:ind w:left="0" w:right="0" w:hanging="0"/>
        <w:rPr>
          <w:rFonts w:ascii="Times New Roman" w:hAnsi="Times New Roman"/>
        </w:rPr>
      </w:pPr>
      <w:r>
        <w:rPr>
          <w:rFonts w:ascii="Times New Roman" w:hAnsi="Times New Roman"/>
        </w:rPr>
        <w:t xml:space="preserve">13. Po przeprowadzeniu egzaminów Komisja egzaminacyjna wydaje pisemną opinię wraz z uzasadnieniem w sprawie spełnienia przez kandydata wymagań, o których mowa w § 6 i weryfikuje kompletność dokumentów. </w:t>
      </w:r>
    </w:p>
    <w:p>
      <w:pPr>
        <w:pStyle w:val="Western"/>
        <w:ind w:left="0" w:right="0" w:hanging="0"/>
        <w:rPr>
          <w:rFonts w:ascii="Times New Roman" w:hAnsi="Times New Roman"/>
        </w:rPr>
      </w:pPr>
      <w:r>
        <w:rPr>
          <w:rFonts w:ascii="Times New Roman" w:hAnsi="Times New Roman"/>
        </w:rPr>
        <w:t>14. Opinię w imieniu Komisji egzaminacyjnej podpisuje jej przewodniczący, a następnie przekazuje ją Dyrektorowi Instytutu.</w:t>
      </w:r>
    </w:p>
    <w:p>
      <w:pPr>
        <w:pStyle w:val="Nagwek2"/>
        <w:spacing w:beforeAutospacing="0" w:before="0" w:after="0"/>
        <w:ind w:left="0" w:right="0" w:hanging="0"/>
        <w:jc w:val="left"/>
        <w:rPr>
          <w:sz w:val="24"/>
          <w:szCs w:val="24"/>
        </w:rPr>
      </w:pPr>
      <w:r>
        <w:rPr>
          <w:sz w:val="24"/>
          <w:szCs w:val="24"/>
        </w:rPr>
      </w:r>
    </w:p>
    <w:p>
      <w:pPr>
        <w:pStyle w:val="Nagwek2"/>
        <w:spacing w:before="0" w:after="0"/>
        <w:ind w:left="0" w:right="0" w:hanging="0"/>
        <w:jc w:val="left"/>
        <w:rPr>
          <w:sz w:val="24"/>
          <w:szCs w:val="24"/>
        </w:rPr>
      </w:pPr>
      <w:r>
        <w:rPr>
          <w:sz w:val="24"/>
          <w:szCs w:val="24"/>
        </w:rPr>
        <w:t>Rozdział 6. Komisja doktorska</w:t>
      </w:r>
    </w:p>
    <w:p>
      <w:pPr>
        <w:pStyle w:val="Nagwek2"/>
        <w:spacing w:before="0" w:after="0"/>
        <w:ind w:left="709" w:right="0" w:firstLine="709"/>
        <w:rPr>
          <w:sz w:val="24"/>
          <w:szCs w:val="24"/>
        </w:rPr>
      </w:pPr>
      <w:r>
        <w:rPr>
          <w:sz w:val="24"/>
          <w:szCs w:val="24"/>
        </w:rPr>
      </w:r>
    </w:p>
    <w:p>
      <w:pPr>
        <w:pStyle w:val="Western"/>
        <w:ind w:left="0"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17.</w:t>
      </w:r>
      <w:r>
        <w:rPr>
          <w:rFonts w:ascii="Times New Roman" w:hAnsi="Times New Roman"/>
          <w:color w:val="2F5496"/>
          <w:spacing w:val="-2"/>
        </w:rPr>
        <w:t xml:space="preserve"> </w:t>
      </w:r>
      <w:r>
        <w:rPr>
          <w:rFonts w:ascii="Times New Roman" w:hAnsi="Times New Roman"/>
          <w:color w:val="2F5496"/>
        </w:rPr>
        <w:t>[Skład i zadania Komisji doktorskiej]</w:t>
      </w:r>
    </w:p>
    <w:p>
      <w:pPr>
        <w:pStyle w:val="NormalWeb"/>
        <w:ind w:left="0" w:right="108" w:hanging="0"/>
        <w:rPr/>
      </w:pPr>
      <w:r>
        <w:rPr/>
        <w:t>1.</w:t>
      </w:r>
      <w:r>
        <w:rPr>
          <w:rFonts w:eastAsia="Calibri" w:eastAsiaTheme="minorHAnsi"/>
          <w:color w:val="000000"/>
          <w:lang w:eastAsia="en-US"/>
        </w:rPr>
        <w:t xml:space="preserve"> Po złożeniu </w:t>
      </w:r>
      <w:r>
        <w:rPr/>
        <w:t xml:space="preserve">rozprawy doktorskiej wraz z pozytywną opinią promotora lub promotorów dla wszczętego postępowania w sprawie nadania stopnia naukowego doktora </w:t>
      </w:r>
      <w:r>
        <w:rPr>
          <w:spacing w:val="-4"/>
        </w:rPr>
        <w:t xml:space="preserve">Rada </w:t>
      </w:r>
      <w:r>
        <w:rPr/>
        <w:t>Instytutu,</w:t>
      </w:r>
      <w:r>
        <w:rPr>
          <w:color w:val="00B050"/>
        </w:rPr>
        <w:t xml:space="preserve"> </w:t>
      </w:r>
      <w:r>
        <w:rPr/>
        <w:t>na wniosek Dyrektora Instytutu, powołuje Komisję doktorską.</w:t>
      </w:r>
    </w:p>
    <w:p>
      <w:pPr>
        <w:pStyle w:val="Nagwek1"/>
        <w:spacing w:lineRule="auto" w:line="240" w:beforeAutospacing="0" w:before="0" w:after="0"/>
        <w:rPr>
          <w:rFonts w:ascii="Times New Roman" w:hAnsi="Times New Roman" w:cs="Times New Roman"/>
          <w:sz w:val="24"/>
          <w:szCs w:val="24"/>
        </w:rPr>
      </w:pPr>
      <w:r>
        <w:rPr>
          <w:rFonts w:cs="Times New Roman" w:ascii="Times New Roman" w:hAnsi="Times New Roman"/>
          <w:color w:val="000000"/>
          <w:sz w:val="24"/>
          <w:szCs w:val="24"/>
        </w:rPr>
        <w:t xml:space="preserve">2. W skład Komisji doktorskiej wchodzi co najmniej 9 osób: </w:t>
      </w:r>
    </w:p>
    <w:p>
      <w:pPr>
        <w:pStyle w:val="NormalWeb"/>
        <w:ind w:left="0" w:right="0" w:firstLine="708"/>
        <w:rPr/>
      </w:pPr>
      <w:r>
        <w:rPr/>
        <w:t>a) promotor/ promotorzy;</w:t>
      </w:r>
    </w:p>
    <w:p>
      <w:pPr>
        <w:pStyle w:val="Western"/>
        <w:ind w:left="0" w:right="0" w:firstLine="708"/>
        <w:rPr>
          <w:rFonts w:ascii="Times New Roman" w:hAnsi="Times New Roman"/>
        </w:rPr>
      </w:pPr>
      <w:r>
        <w:rPr>
          <w:rFonts w:ascii="Times New Roman" w:hAnsi="Times New Roman"/>
        </w:rPr>
        <w:t>b) trzej</w:t>
      </w:r>
      <w:r>
        <w:rPr>
          <w:rFonts w:ascii="Times New Roman" w:hAnsi="Times New Roman"/>
          <w:spacing w:val="-2"/>
        </w:rPr>
        <w:t xml:space="preserve"> </w:t>
      </w:r>
      <w:r>
        <w:rPr>
          <w:rFonts w:ascii="Times New Roman" w:hAnsi="Times New Roman"/>
        </w:rPr>
        <w:t>recenzenci;</w:t>
      </w:r>
    </w:p>
    <w:p>
      <w:pPr>
        <w:pStyle w:val="Western"/>
        <w:ind w:left="708" w:right="0" w:hanging="0"/>
        <w:rPr>
          <w:rFonts w:ascii="Times New Roman" w:hAnsi="Times New Roman"/>
        </w:rPr>
      </w:pPr>
      <w:r>
        <w:rPr>
          <w:rFonts w:ascii="Times New Roman" w:hAnsi="Times New Roman"/>
        </w:rPr>
        <w:t xml:space="preserve">c) pięciu członków, którzy wchodzili w skład Komisji egzaminacyjnej; </w:t>
      </w:r>
    </w:p>
    <w:p>
      <w:pPr>
        <w:pStyle w:val="Western"/>
        <w:ind w:left="708" w:right="0" w:hanging="0"/>
        <w:rPr>
          <w:rFonts w:ascii="Times New Roman" w:hAnsi="Times New Roman"/>
        </w:rPr>
      </w:pPr>
      <w:r>
        <w:rPr>
          <w:rFonts w:ascii="Times New Roman" w:hAnsi="Times New Roman"/>
        </w:rPr>
        <w:t>d) spośród członków Komisji doktorskiej Dyrektor Instytutu wskazuje sekretarza oraz przewodniczącego.</w:t>
      </w:r>
    </w:p>
    <w:p>
      <w:pPr>
        <w:pStyle w:val="NormalWeb"/>
        <w:ind w:left="0" w:right="108" w:hanging="0"/>
        <w:rPr/>
      </w:pPr>
      <w:r>
        <w:rPr/>
        <w:t>3.Członkiem Komisji doktorskiej z głosem wyłącznie doradczym jest promotor pomocniczy, o ile został powołany.</w:t>
      </w:r>
    </w:p>
    <w:p>
      <w:pPr>
        <w:pStyle w:val="Western"/>
        <w:ind w:left="0" w:right="0" w:hanging="0"/>
        <w:rPr>
          <w:rFonts w:ascii="Times New Roman" w:hAnsi="Times New Roman"/>
        </w:rPr>
      </w:pPr>
      <w:r>
        <w:rPr>
          <w:rFonts w:ascii="Times New Roman" w:hAnsi="Times New Roman"/>
        </w:rPr>
        <w:t xml:space="preserve">4. Zadania Komisji doktorskiej: </w:t>
      </w:r>
    </w:p>
    <w:p>
      <w:pPr>
        <w:pStyle w:val="NormalWeb"/>
        <w:ind w:left="0" w:right="108" w:firstLine="708"/>
        <w:rPr/>
      </w:pPr>
      <w:r>
        <w:rPr/>
        <w:t>a) przyjęcie rozprawy doktorskiej;</w:t>
      </w:r>
    </w:p>
    <w:p>
      <w:pPr>
        <w:pStyle w:val="NormalWeb"/>
        <w:ind w:left="708" w:right="108" w:hanging="0"/>
        <w:rPr/>
      </w:pPr>
      <w:r>
        <w:rPr/>
        <w:t>b) wydanie postanowienia w sprawie dopuszczenia rozprawy do publicznej obrony i wyznaczenia jej</w:t>
      </w:r>
      <w:r>
        <w:rPr>
          <w:spacing w:val="-2"/>
        </w:rPr>
        <w:t xml:space="preserve"> </w:t>
      </w:r>
      <w:r>
        <w:rPr/>
        <w:t>terminu – po otrzymaniu recenzji i zapoznaniu się z opinią promotora/ promotorów;</w:t>
      </w:r>
    </w:p>
    <w:p>
      <w:pPr>
        <w:pStyle w:val="Western"/>
        <w:ind w:left="0" w:right="0" w:firstLine="708"/>
        <w:rPr>
          <w:rFonts w:ascii="Times New Roman" w:hAnsi="Times New Roman"/>
        </w:rPr>
      </w:pPr>
      <w:r>
        <w:rPr>
          <w:rFonts w:ascii="Times New Roman" w:hAnsi="Times New Roman"/>
        </w:rPr>
        <w:t>c) przeprowadzenie obrony rozprawy</w:t>
      </w:r>
      <w:r>
        <w:rPr>
          <w:rFonts w:ascii="Times New Roman" w:hAnsi="Times New Roman"/>
          <w:spacing w:val="-2"/>
        </w:rPr>
        <w:t xml:space="preserve"> </w:t>
      </w:r>
      <w:r>
        <w:rPr>
          <w:rFonts w:ascii="Times New Roman" w:hAnsi="Times New Roman"/>
        </w:rPr>
        <w:t>doktorskiej;</w:t>
      </w:r>
    </w:p>
    <w:p>
      <w:pPr>
        <w:pStyle w:val="Western"/>
        <w:ind w:left="0" w:right="0" w:firstLine="708"/>
        <w:rPr>
          <w:rFonts w:ascii="Times New Roman" w:hAnsi="Times New Roman"/>
        </w:rPr>
      </w:pPr>
      <w:r>
        <w:rPr>
          <w:rFonts w:ascii="Times New Roman" w:hAnsi="Times New Roman"/>
        </w:rPr>
        <w:t>d) wydanie postanowienia w sprawie przyjęcia publicznej</w:t>
      </w:r>
      <w:r>
        <w:rPr>
          <w:rFonts w:ascii="Times New Roman" w:hAnsi="Times New Roman"/>
          <w:spacing w:val="-4"/>
        </w:rPr>
        <w:t xml:space="preserve"> </w:t>
      </w:r>
      <w:r>
        <w:rPr>
          <w:rFonts w:ascii="Times New Roman" w:hAnsi="Times New Roman"/>
        </w:rPr>
        <w:t>obrony;</w:t>
      </w:r>
    </w:p>
    <w:p>
      <w:pPr>
        <w:pStyle w:val="Western"/>
        <w:ind w:left="708" w:right="108" w:hanging="0"/>
        <w:rPr>
          <w:rFonts w:ascii="Times New Roman" w:hAnsi="Times New Roman"/>
          <w:color w:val="000000" w:themeColor="text1"/>
        </w:rPr>
      </w:pPr>
      <w:r>
        <w:rPr>
          <w:rFonts w:ascii="Times New Roman" w:hAnsi="Times New Roman"/>
          <w:color w:val="000000" w:themeColor="text1"/>
        </w:rPr>
        <w:t>e) skierowania do Rady Instytutu wniosku w sprawie nadania stopnia doktora w dyscyplinie literaturoznawstwo wraz z uzasadnieniem.</w:t>
      </w:r>
    </w:p>
    <w:p>
      <w:pPr>
        <w:pStyle w:val="Nagwek1"/>
        <w:spacing w:lineRule="auto" w:line="240" w:beforeAutospacing="0" w:before="0" w:after="0"/>
        <w:rPr>
          <w:rFonts w:ascii="Times New Roman" w:hAnsi="Times New Roman" w:eastAsia="Times New Roman" w:cs="Times New Roman"/>
          <w:color w:val="auto"/>
          <w:sz w:val="24"/>
          <w:szCs w:val="24"/>
          <w:lang w:eastAsia="pl-PL"/>
        </w:rPr>
      </w:pPr>
      <w:r>
        <w:rPr>
          <w:rFonts w:eastAsia="Times New Roman" w:cs="Times New Roman" w:ascii="Times New Roman" w:hAnsi="Times New Roman"/>
          <w:color w:val="auto"/>
          <w:sz w:val="24"/>
          <w:szCs w:val="24"/>
          <w:lang w:eastAsia="pl-PL"/>
        </w:rPr>
      </w:r>
    </w:p>
    <w:p>
      <w:pPr>
        <w:pStyle w:val="Nagwek1"/>
        <w:spacing w:lineRule="auto" w:line="240" w:before="0" w:after="0"/>
        <w:rPr>
          <w:rFonts w:ascii="Times New Roman" w:hAnsi="Times New Roman" w:cs="Times New Roman"/>
          <w:sz w:val="24"/>
          <w:szCs w:val="24"/>
        </w:rPr>
      </w:pPr>
      <w:r>
        <w:rPr>
          <w:rFonts w:cs="Times New Roman" w:ascii="Times New Roman" w:hAnsi="Times New Roman"/>
          <w:color w:val="2F5496"/>
          <w:sz w:val="24"/>
          <w:szCs w:val="24"/>
        </w:rPr>
        <w:t xml:space="preserve">§ </w:t>
      </w:r>
      <w:r>
        <w:rPr>
          <w:rFonts w:cs="Times New Roman" w:ascii="Times New Roman" w:hAnsi="Times New Roman"/>
          <w:smallCaps/>
          <w:color w:val="2F5496"/>
          <w:sz w:val="24"/>
          <w:szCs w:val="24"/>
        </w:rPr>
        <w:t>18</w:t>
      </w:r>
      <w:r>
        <w:rPr>
          <w:rFonts w:cs="Times New Roman" w:ascii="Times New Roman" w:hAnsi="Times New Roman"/>
          <w:color w:val="2F5496"/>
          <w:sz w:val="24"/>
          <w:szCs w:val="24"/>
        </w:rPr>
        <w:t>. [Tryb działania Komisji doktorskiej]</w:t>
      </w:r>
    </w:p>
    <w:p>
      <w:pPr>
        <w:pStyle w:val="NormalWeb"/>
        <w:ind w:left="0" w:right="108" w:hanging="0"/>
        <w:rPr/>
      </w:pPr>
      <w:r>
        <w:rPr/>
        <w:t>1. Komisja doktorska podejmuje decyzje w głosowaniu tajnym, bezwzględną większością głosów, w obecności co najmniej połowy jej członków uprawnionych do głosowania. Komisja nie może rozstrzygać pod nieobecność przewodniczącego lub sekretarza.</w:t>
      </w:r>
    </w:p>
    <w:p>
      <w:pPr>
        <w:pStyle w:val="NormalWeb"/>
        <w:ind w:left="0" w:right="108" w:hanging="0"/>
        <w:rPr/>
      </w:pPr>
      <w:r>
        <w:rPr/>
        <w:t>2. Posiedzenia Komisji doktorskiej zwołuje przewodniczący tej Komisji.</w:t>
      </w:r>
    </w:p>
    <w:p>
      <w:pPr>
        <w:pStyle w:val="NormalWeb"/>
        <w:ind w:left="0" w:right="108" w:hanging="0"/>
        <w:rPr/>
      </w:pPr>
      <w:r>
        <w:rPr/>
        <w:t>3. Zadaniem sekretarza Komisji doktorskiej jest zapewnienie prawidłowego dokumentowania przebiegu czynności podejmowanych przez Komisję</w:t>
      </w:r>
      <w:r>
        <w:rPr>
          <w:spacing w:val="-4"/>
        </w:rPr>
        <w:t xml:space="preserve"> </w:t>
      </w:r>
      <w:r>
        <w:rPr/>
        <w:t>doktorską.</w:t>
      </w:r>
    </w:p>
    <w:p>
      <w:pPr>
        <w:pStyle w:val="NormalWeb"/>
        <w:ind w:left="0" w:right="108" w:hanging="0"/>
        <w:rPr/>
      </w:pPr>
      <w:r>
        <w:rPr/>
        <w:t>4. W uzasadnionych przypadkach udział w pracach Komisji doktorskiej może odbywać się przy użyciu urządzeń technicznych umożliwiających jednoczesne i bezpośrednie przekazywanie obrazu i</w:t>
      </w:r>
      <w:r>
        <w:rPr>
          <w:spacing w:val="-2"/>
        </w:rPr>
        <w:t xml:space="preserve"> </w:t>
      </w:r>
      <w:r>
        <w:rPr/>
        <w:t>dźwięku.</w:t>
      </w:r>
    </w:p>
    <w:p>
      <w:pPr>
        <w:pStyle w:val="NormalWeb"/>
        <w:ind w:left="0" w:right="108" w:hanging="0"/>
        <w:rPr>
          <w:color w:val="FF0000"/>
        </w:rPr>
      </w:pPr>
      <w:r>
        <w:rPr/>
        <w:t>5. Rozstrzygnięcia Komisji doktorskiej wydawane w postępowaniu podpisuje przewodniczący tej</w:t>
      </w:r>
      <w:r>
        <w:rPr>
          <w:spacing w:val="-2"/>
        </w:rPr>
        <w:t xml:space="preserve"> </w:t>
      </w:r>
      <w:r>
        <w:rPr/>
        <w:t>Komisji w przypadku posiedzenia zdalnego, natomiast w trybie stacjonarnym podpisują wszyscy członkowie.</w:t>
      </w:r>
    </w:p>
    <w:p>
      <w:pPr>
        <w:pStyle w:val="NormalWeb"/>
        <w:rPr/>
      </w:pPr>
      <w:r>
        <w:rPr/>
      </w:r>
    </w:p>
    <w:p>
      <w:pPr>
        <w:pStyle w:val="Western"/>
        <w:ind w:left="0" w:right="0" w:hanging="0"/>
        <w:rPr>
          <w:rFonts w:ascii="Times New Roman" w:hAnsi="Times New Roman"/>
        </w:rPr>
      </w:pPr>
      <w:r>
        <w:rPr>
          <w:rFonts w:ascii="Times New Roman" w:hAnsi="Times New Roman"/>
        </w:rPr>
      </w:r>
    </w:p>
    <w:p>
      <w:pPr>
        <w:pStyle w:val="Nagwek2"/>
        <w:spacing w:beforeAutospacing="0" w:before="0" w:after="0"/>
        <w:ind w:left="0" w:right="0" w:hanging="0"/>
        <w:jc w:val="left"/>
        <w:rPr>
          <w:sz w:val="24"/>
          <w:szCs w:val="24"/>
        </w:rPr>
      </w:pPr>
      <w:r>
        <w:rPr>
          <w:sz w:val="24"/>
          <w:szCs w:val="24"/>
        </w:rPr>
        <w:t>Rozdział 7. Obrona rozprawy, nadanie stopnia i odwołania</w:t>
      </w:r>
    </w:p>
    <w:p>
      <w:pPr>
        <w:pStyle w:val="Nagwek2"/>
        <w:spacing w:before="0" w:after="0"/>
        <w:ind w:left="1060" w:right="0" w:hanging="0"/>
        <w:rPr>
          <w:sz w:val="24"/>
          <w:szCs w:val="24"/>
        </w:rPr>
      </w:pPr>
      <w:r>
        <w:rPr>
          <w:sz w:val="24"/>
          <w:szCs w:val="24"/>
        </w:rPr>
      </w:r>
    </w:p>
    <w:p>
      <w:pPr>
        <w:pStyle w:val="Western"/>
        <w:ind w:left="0"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19.</w:t>
      </w:r>
      <w:r>
        <w:rPr>
          <w:rFonts w:ascii="Times New Roman" w:hAnsi="Times New Roman"/>
          <w:color w:val="2F5496"/>
          <w:spacing w:val="-2"/>
        </w:rPr>
        <w:t xml:space="preserve"> </w:t>
      </w:r>
      <w:r>
        <w:rPr>
          <w:rFonts w:ascii="Times New Roman" w:hAnsi="Times New Roman"/>
          <w:color w:val="2F5496"/>
        </w:rPr>
        <w:t>[Dopuszczenie do publicznej</w:t>
      </w:r>
      <w:r>
        <w:rPr>
          <w:rFonts w:ascii="Times New Roman" w:hAnsi="Times New Roman"/>
          <w:color w:val="2F5496"/>
          <w:spacing w:val="-2"/>
        </w:rPr>
        <w:t xml:space="preserve"> </w:t>
      </w:r>
      <w:r>
        <w:rPr>
          <w:rFonts w:ascii="Times New Roman" w:hAnsi="Times New Roman"/>
          <w:color w:val="2F5496"/>
        </w:rPr>
        <w:t>obrony]</w:t>
      </w:r>
    </w:p>
    <w:p>
      <w:pPr>
        <w:pStyle w:val="NormalWeb"/>
        <w:ind w:left="0" w:right="108" w:hanging="0"/>
        <w:rPr/>
      </w:pPr>
      <w:r>
        <w:rPr/>
        <w:t>1. Komisja doktorska, po zapoznaniu się z rozprawą doktorską, opiniami promotorów oraz recenzjami, wydaje postanowienie w sprawie dopuszczenia kandydata do publicznej obrony rozprawy doktorskiej.</w:t>
      </w:r>
    </w:p>
    <w:p>
      <w:pPr>
        <w:pStyle w:val="NormalWeb"/>
        <w:ind w:left="0" w:right="108" w:hanging="0"/>
        <w:rPr>
          <w:color w:val="FF0000"/>
        </w:rPr>
      </w:pPr>
      <w:r>
        <w:rPr/>
        <w:t>2. Do obrony rozprawy doktorskiej może być dopuszczona osoba, która uzyskała pozytywne recenzje od co najmniej dwóch</w:t>
      </w:r>
      <w:r>
        <w:rPr>
          <w:spacing w:val="-4"/>
        </w:rPr>
        <w:t xml:space="preserve"> </w:t>
      </w:r>
      <w:r>
        <w:rPr/>
        <w:t xml:space="preserve">recenzentów.  </w:t>
      </w:r>
    </w:p>
    <w:p>
      <w:pPr>
        <w:pStyle w:val="NormalWeb"/>
        <w:ind w:left="0" w:right="108" w:hanging="0"/>
        <w:rPr/>
      </w:pPr>
      <w:r>
        <w:rPr/>
        <w:t>3. Na postanowienie o odmowie dopuszczenia do obrony rozprawy doktorskiej przysługuje zażalenie do Rady Doskonałości Naukowej składane za pośrednictwem Rady Instytutu w terminie 7 dni od dnia doręczenia</w:t>
      </w:r>
      <w:r>
        <w:rPr>
          <w:spacing w:val="-4"/>
        </w:rPr>
        <w:t xml:space="preserve"> </w:t>
      </w:r>
      <w:r>
        <w:rPr/>
        <w:t>postanowienia.</w:t>
      </w:r>
    </w:p>
    <w:p>
      <w:pPr>
        <w:pStyle w:val="NormalWeb"/>
        <w:rPr/>
      </w:pPr>
      <w:r>
        <w:rPr/>
      </w:r>
    </w:p>
    <w:p>
      <w:pPr>
        <w:pStyle w:val="NormalWeb"/>
        <w:ind w:left="0" w:right="108" w:hanging="0"/>
        <w:rPr/>
      </w:pPr>
      <w:r>
        <w:rPr>
          <w:color w:val="2F5496"/>
        </w:rPr>
        <w:t xml:space="preserve">§ </w:t>
      </w:r>
      <w:r>
        <w:rPr>
          <w:smallCaps/>
          <w:color w:val="2F5496"/>
        </w:rPr>
        <w:t>20.</w:t>
      </w:r>
      <w:r>
        <w:rPr>
          <w:color w:val="2F5496"/>
          <w:spacing w:val="-2"/>
        </w:rPr>
        <w:t xml:space="preserve"> </w:t>
      </w:r>
      <w:r>
        <w:rPr>
          <w:color w:val="2F5496"/>
        </w:rPr>
        <w:t>[Warunki udostępnienia rozprawy doktorskiej</w:t>
      </w:r>
      <w:r>
        <w:rPr>
          <w:color w:val="2F5496"/>
          <w:spacing w:val="-2"/>
        </w:rPr>
        <w:t xml:space="preserve"> </w:t>
      </w:r>
      <w:r>
        <w:rPr>
          <w:color w:val="2F5496"/>
        </w:rPr>
        <w:t>i informacji o obronie]</w:t>
      </w:r>
    </w:p>
    <w:p>
      <w:pPr>
        <w:pStyle w:val="NormalWeb"/>
        <w:ind w:left="0" w:right="108" w:hanging="0"/>
        <w:rPr/>
      </w:pPr>
      <w:r>
        <w:rPr/>
        <w:t>1. Uniwersytet, nie później niż 30 dni przed wyznaczonym dniem obrony rozprawy doktorskiej, udostępnia w BIP na swojej stronie podmiotowej rozprawę doktorską będącą pracą pisemną wraz z jej streszczeniem albo opis rozprawy doktorskiej niebędącej pracą pisemną oraz recenzje. W przypadku rozprawy doktorskiej, której przedmiot jest objęty tajemnicą prawnie chronioną, udostępnia się tylko recenzje z wyłączeniem treści objętych tą</w:t>
      </w:r>
      <w:r>
        <w:rPr>
          <w:spacing w:val="-2"/>
        </w:rPr>
        <w:t xml:space="preserve"> </w:t>
      </w:r>
      <w:r>
        <w:rPr/>
        <w:t>tajemnicą.</w:t>
      </w:r>
    </w:p>
    <w:p>
      <w:pPr>
        <w:pStyle w:val="NormalWeb"/>
        <w:ind w:left="0" w:right="108" w:hanging="0"/>
        <w:rPr/>
      </w:pPr>
      <w:r>
        <w:rPr/>
        <w:t xml:space="preserve">2. Dokumenty, o których mowa w pkt. </w:t>
      </w:r>
      <w:r>
        <w:rPr>
          <w:smallCaps/>
        </w:rPr>
        <w:t>1</w:t>
      </w:r>
      <w:r>
        <w:rPr/>
        <w:t>, niezwłocznie po ich udostępnieniu zamieszcza się w Zintegrowanym Systemie Informacji o Szkolnictwie Wyższym i Nauce</w:t>
      </w:r>
      <w:r>
        <w:rPr>
          <w:spacing w:val="-2"/>
        </w:rPr>
        <w:t xml:space="preserve"> </w:t>
      </w:r>
      <w:r>
        <w:rPr/>
        <w:t>POL-on.</w:t>
      </w:r>
    </w:p>
    <w:p>
      <w:pPr>
        <w:pStyle w:val="NormalWeb"/>
        <w:ind w:left="0" w:right="108" w:hanging="0"/>
        <w:rPr/>
      </w:pPr>
      <w:r>
        <w:rPr/>
        <w:t xml:space="preserve">3. Instytut zawiadamia, na co najmniej </w:t>
      </w:r>
      <w:r>
        <w:rPr>
          <w:smallCaps/>
        </w:rPr>
        <w:t>1</w:t>
      </w:r>
      <w:r>
        <w:rPr/>
        <w:t>0 dni przed terminem obrony, o terminie i miejscu jej przeprowadzenia inne jednostki organizacyjne uprawnione do nadawania stopnia doktora w danej dyscyplinie</w:t>
      </w:r>
      <w:r>
        <w:rPr>
          <w:spacing w:val="-4"/>
        </w:rPr>
        <w:t xml:space="preserve"> </w:t>
      </w:r>
      <w:r>
        <w:rPr/>
        <w:t>naukowej.</w:t>
      </w:r>
    </w:p>
    <w:p>
      <w:pPr>
        <w:pStyle w:val="NormalWeb"/>
        <w:rPr/>
      </w:pPr>
      <w:r>
        <w:rPr/>
      </w:r>
    </w:p>
    <w:p>
      <w:pPr>
        <w:pStyle w:val="NormalWeb"/>
        <w:rPr/>
      </w:pPr>
      <w:r>
        <w:rPr>
          <w:color w:val="2F5496"/>
        </w:rPr>
        <w:t xml:space="preserve">§ </w:t>
      </w:r>
      <w:r>
        <w:rPr>
          <w:smallCaps/>
          <w:color w:val="2F5496"/>
        </w:rPr>
        <w:t>21.</w:t>
      </w:r>
      <w:r>
        <w:rPr>
          <w:color w:val="2F5496"/>
          <w:spacing w:val="-2"/>
        </w:rPr>
        <w:t xml:space="preserve"> </w:t>
      </w:r>
      <w:r>
        <w:rPr>
          <w:color w:val="2F5496"/>
        </w:rPr>
        <w:t>[Przebieg obrony i głosowanie]</w:t>
      </w:r>
    </w:p>
    <w:p>
      <w:pPr>
        <w:pStyle w:val="NormalWeb"/>
        <w:rPr/>
      </w:pPr>
      <w:r>
        <w:rPr/>
        <w:t xml:space="preserve">1. Obrona odbywa się na otwartym posiedzeniu Komisji doktorskiej z udziałem recenzentów i promotora lub promotorów. </w:t>
      </w:r>
    </w:p>
    <w:p>
      <w:pPr>
        <w:pStyle w:val="NormalWeb"/>
        <w:rPr/>
      </w:pPr>
      <w:r>
        <w:rPr/>
        <w:t>2. Co najmniej jeden recenzent powinien być obecny na posiedzeniu. Dla Komisji doktorskiej o składzie 9-osobowym kworum stanowi 5 osób: przewodniczący Komisji, jeden recenzent, 2 członków Komisji oraz sekretarz.</w:t>
      </w:r>
    </w:p>
    <w:p>
      <w:pPr>
        <w:pStyle w:val="NormalWeb"/>
        <w:rPr/>
      </w:pPr>
      <w:r>
        <w:rPr/>
        <w:t>3. W toku posiedzenia Komisji doktorskiej dopuszcza się korzystanie ze środków komunikacji na odległość (wideokonferencji).</w:t>
      </w:r>
    </w:p>
    <w:p>
      <w:pPr>
        <w:pStyle w:val="NormalWeb"/>
        <w:rPr/>
      </w:pPr>
      <w:r>
        <w:rPr/>
        <w:t>4. Wymóg obecności pozostałych recenzentów może zostać spełniony poprzez przeprowadzenie obrony przy użyciu urządzeń technicznych umożliwiających jej przeprowadzenie na odległość z jednoczesnym bezpośrednim przekazem obrazu i dźwięku.</w:t>
      </w:r>
    </w:p>
    <w:p>
      <w:pPr>
        <w:pStyle w:val="NormalWeb"/>
        <w:rPr/>
      </w:pPr>
      <w:r>
        <w:rPr/>
        <w:t>5. Podczas obrony osoba ubiegająca się o nadanie stopnia naukowego przedstawia główne założenia rozprawy doktorskiej w formie autoreferatu. Następnie recenzenci przedstawiają swoje recenzje. W przypadku nieobecności recenzenta przewodniczący Komisji doktorskiej zarządza, stosownie do okoliczności, odczytanie całości recenzji lub jej głównych</w:t>
      </w:r>
      <w:r>
        <w:rPr>
          <w:spacing w:val="-2"/>
        </w:rPr>
        <w:t xml:space="preserve"> </w:t>
      </w:r>
      <w:r>
        <w:rPr/>
        <w:t>tez.</w:t>
      </w:r>
    </w:p>
    <w:p>
      <w:pPr>
        <w:pStyle w:val="NormalWeb"/>
        <w:rPr/>
      </w:pPr>
      <w:r>
        <w:rPr/>
        <w:t>6. Po przedstawieniu recenzji osoba ubiegająca się o nadanie stopnia naukowego odpowiada na sformułowane w nich pytania i uwagi, jak też na pytania i uwagi formułowane przez osoby obecne na posiedzeniu. Dyskusję kończy wypowiedź osoby ubiegającej się o nadanie stopnia naukowego</w:t>
      </w:r>
      <w:r>
        <w:rPr>
          <w:spacing w:val="-2"/>
        </w:rPr>
        <w:t xml:space="preserve"> </w:t>
      </w:r>
      <w:r>
        <w:rPr/>
        <w:t>doktora.</w:t>
      </w:r>
    </w:p>
    <w:p>
      <w:pPr>
        <w:pStyle w:val="NormalWeb"/>
        <w:rPr/>
      </w:pPr>
      <w:r>
        <w:rPr/>
        <w:t>7. Po zakończeniu części jawnej posiedzenia wyznaczonego na obronę rozprawy doktorskiej, w ramach części niejawnej posiedzenia Komisji, odbywa się dyskusja nad (I) przyjęciem obrony oraz (II) nadaniem stopnia doktora, a następnie głosowania w obu przedmiotowych sprawach. Jeśli któryś z recenzentów wnioskuje o wyróżnienie rozprawy, odbywa się również dyskusja oraz głosowania nad wyróżnieniem rozprawy. Po wydaniu postanowienia przewodniczący Komisji doktorskiej przygotowuje w imieniu Komisji doktorskiej wniosek do Rady Instytutu o nadanie stopnia doktora wraz z</w:t>
      </w:r>
      <w:r>
        <w:rPr>
          <w:spacing w:val="-4"/>
        </w:rPr>
        <w:t xml:space="preserve"> </w:t>
      </w:r>
      <w:r>
        <w:rPr/>
        <w:t>uzasadnieniem.</w:t>
      </w:r>
    </w:p>
    <w:p>
      <w:pPr>
        <w:pStyle w:val="NormalWeb"/>
        <w:rPr/>
      </w:pPr>
      <w:r>
        <w:rPr/>
        <w:t>8. W przypadku nieprzyjęcia obrony przewodniczący Komisji doktorskiej informuje kandydata o nieprzyjęciu obrony rozprawy doktorskiej przez Komisję oraz informuje o przedstawieniu Radzie Instytutu wniosku o odmowę nadania stopnia wraz z uzasadnieniem.</w:t>
      </w:r>
    </w:p>
    <w:p>
      <w:pPr>
        <w:pStyle w:val="NormalWeb"/>
        <w:rPr/>
      </w:pPr>
      <w:r>
        <w:rPr/>
        <w:t>9. Po zakończeniu obrony rozprawy doktorskiej przewodniczący Komisji doktorskiej niezwłocznie przekazuje całą dokumentację postępowania Dyrektorowi</w:t>
      </w:r>
      <w:r>
        <w:rPr>
          <w:spacing w:val="-6"/>
        </w:rPr>
        <w:t xml:space="preserve"> </w:t>
      </w:r>
      <w:r>
        <w:rPr/>
        <w:t>Instytutu za pośrednictwem sekretarza Instytutu.</w:t>
      </w:r>
    </w:p>
    <w:p>
      <w:pPr>
        <w:pStyle w:val="NormalWeb"/>
        <w:rPr/>
      </w:pPr>
      <w:r>
        <w:rPr/>
      </w:r>
    </w:p>
    <w:p>
      <w:pPr>
        <w:pStyle w:val="NormalWeb"/>
        <w:rPr/>
      </w:pPr>
      <w:r>
        <w:rPr>
          <w:color w:val="2F5496"/>
        </w:rPr>
        <w:t xml:space="preserve">§ </w:t>
      </w:r>
      <w:r>
        <w:rPr>
          <w:smallCaps/>
          <w:color w:val="2F5496"/>
        </w:rPr>
        <w:t>22.</w:t>
      </w:r>
      <w:r>
        <w:rPr>
          <w:color w:val="2F5496"/>
          <w:spacing w:val="-2"/>
        </w:rPr>
        <w:t xml:space="preserve"> </w:t>
      </w:r>
      <w:r>
        <w:rPr>
          <w:color w:val="2F5496"/>
        </w:rPr>
        <w:t>[Decyzja co do nadania stopnia doktora]</w:t>
      </w:r>
    </w:p>
    <w:p>
      <w:pPr>
        <w:pStyle w:val="NormalWeb"/>
        <w:rPr/>
      </w:pPr>
      <w:r>
        <w:rPr/>
        <w:t>1. Rada Instytutu nadaje stopień doktora albo odmawia jego nadania w głosowaniu tajnym na podstawie wniosków Komisji doktorskiej. Rada Instytutu nie jest związana wnioskiem Komisji</w:t>
      </w:r>
      <w:r>
        <w:rPr>
          <w:spacing w:val="-4"/>
        </w:rPr>
        <w:t xml:space="preserve"> </w:t>
      </w:r>
      <w:r>
        <w:rPr/>
        <w:t>doktorskiej.</w:t>
      </w:r>
    </w:p>
    <w:p>
      <w:pPr>
        <w:pStyle w:val="NormalWeb"/>
        <w:ind w:left="113" w:right="0" w:hanging="0"/>
        <w:rPr/>
      </w:pPr>
      <w:r>
        <w:rPr/>
        <w:t>2. Decyzję,</w:t>
      </w:r>
      <w:r>
        <w:rPr>
          <w:spacing w:val="24"/>
        </w:rPr>
        <w:t xml:space="preserve"> </w:t>
      </w:r>
      <w:r>
        <w:rPr/>
        <w:t>o</w:t>
      </w:r>
      <w:r>
        <w:rPr>
          <w:spacing w:val="24"/>
        </w:rPr>
        <w:t xml:space="preserve"> </w:t>
      </w:r>
      <w:r>
        <w:rPr/>
        <w:t>której</w:t>
      </w:r>
      <w:r>
        <w:rPr>
          <w:spacing w:val="24"/>
        </w:rPr>
        <w:t xml:space="preserve"> </w:t>
      </w:r>
      <w:r>
        <w:rPr/>
        <w:t>mowa</w:t>
      </w:r>
      <w:r>
        <w:rPr>
          <w:spacing w:val="24"/>
        </w:rPr>
        <w:t xml:space="preserve"> </w:t>
      </w:r>
      <w:r>
        <w:rPr/>
        <w:t>w</w:t>
      </w:r>
      <w:r>
        <w:rPr>
          <w:spacing w:val="24"/>
        </w:rPr>
        <w:t xml:space="preserve"> </w:t>
      </w:r>
      <w:r>
        <w:rPr/>
        <w:t>pkt.</w:t>
      </w:r>
      <w:r>
        <w:rPr>
          <w:spacing w:val="24"/>
        </w:rPr>
        <w:t xml:space="preserve"> </w:t>
      </w:r>
      <w:r>
        <w:rPr>
          <w:smallCaps/>
        </w:rPr>
        <w:t>1</w:t>
      </w:r>
      <w:r>
        <w:rPr/>
        <w:t>,</w:t>
      </w:r>
      <w:r>
        <w:rPr>
          <w:spacing w:val="24"/>
        </w:rPr>
        <w:t xml:space="preserve"> </w:t>
      </w:r>
      <w:r>
        <w:rPr/>
        <w:t>Rada</w:t>
      </w:r>
      <w:r>
        <w:rPr>
          <w:spacing w:val="24"/>
        </w:rPr>
        <w:t xml:space="preserve"> </w:t>
      </w:r>
      <w:r>
        <w:rPr/>
        <w:t>Instytutu</w:t>
      </w:r>
      <w:r>
        <w:rPr>
          <w:spacing w:val="24"/>
        </w:rPr>
        <w:t xml:space="preserve"> </w:t>
      </w:r>
      <w:r>
        <w:rPr/>
        <w:t>wydaje</w:t>
      </w:r>
      <w:r>
        <w:rPr>
          <w:spacing w:val="24"/>
        </w:rPr>
        <w:t xml:space="preserve"> </w:t>
      </w:r>
      <w:r>
        <w:rPr/>
        <w:t>w ciągu 30 dni od daty przeprowadzenia obrony.</w:t>
      </w:r>
    </w:p>
    <w:p>
      <w:pPr>
        <w:pStyle w:val="NormalWeb"/>
        <w:rPr/>
      </w:pPr>
      <w:r>
        <w:rPr/>
        <w:t>3. Przed podjęciem decyzji na posiedzeniu Rady Instytutu przewodniczący lub sekretarz Komisji doktorskiej przedstawia przebieg postępowania i publicznej obrony rozprawy</w:t>
      </w:r>
      <w:r>
        <w:rPr>
          <w:spacing w:val="-2"/>
        </w:rPr>
        <w:t xml:space="preserve"> </w:t>
      </w:r>
      <w:r>
        <w:rPr/>
        <w:t>doktorskiej.</w:t>
      </w:r>
    </w:p>
    <w:p>
      <w:pPr>
        <w:pStyle w:val="NormalWeb"/>
        <w:rPr/>
      </w:pPr>
      <w:r>
        <w:rPr/>
        <w:t>4. Uchwała w sprawie nadania stopnia naukowego doktora podejmowana jest przez Radę Instytutu w głosowaniu tajnym i zapada bezwzględną większością głosów oddanych przy obecności co najmniej połowy ogólnej liczby osób uprawnionych do głosowania. Do głosowania są uprawnieni członkowie Rady Instytutu zatrudnieni na stanowisku profesora i profesora uczelni.</w:t>
      </w:r>
    </w:p>
    <w:p>
      <w:pPr>
        <w:pStyle w:val="NormalWeb"/>
        <w:rPr/>
      </w:pPr>
      <w:r>
        <w:rPr/>
        <w:t>5. Osoba, której nadano stopień doktora, otrzymuje dyplom doktorski oraz odpis tego dyplomu. Na wniosek tej osoby wydaje się odpisy dyplomu w języku</w:t>
      </w:r>
      <w:r>
        <w:rPr>
          <w:spacing w:val="-4"/>
        </w:rPr>
        <w:t xml:space="preserve"> </w:t>
      </w:r>
      <w:r>
        <w:rPr/>
        <w:t>obcym.</w:t>
      </w:r>
    </w:p>
    <w:p>
      <w:pPr>
        <w:pStyle w:val="NormalWeb"/>
        <w:rPr/>
      </w:pPr>
      <w:r>
        <w:rPr/>
      </w:r>
    </w:p>
    <w:p>
      <w:pPr>
        <w:pStyle w:val="NormalWeb"/>
        <w:ind w:left="0" w:right="108" w:hanging="0"/>
        <w:rPr/>
      </w:pPr>
      <w:r>
        <w:rPr>
          <w:color w:val="2F5496"/>
        </w:rPr>
        <w:t xml:space="preserve">§ </w:t>
      </w:r>
      <w:r>
        <w:rPr>
          <w:smallCaps/>
          <w:color w:val="2F5496"/>
        </w:rPr>
        <w:t>23</w:t>
      </w:r>
      <w:r>
        <w:rPr>
          <w:color w:val="2F5496"/>
        </w:rPr>
        <w:t>. [Tryb złożenia odwołania]</w:t>
      </w:r>
    </w:p>
    <w:p>
      <w:pPr>
        <w:pStyle w:val="NormalWeb"/>
        <w:ind w:left="0" w:right="108" w:hanging="0"/>
        <w:rPr/>
      </w:pPr>
      <w:r>
        <w:rPr/>
        <w:t>1. Od decyzji o odmowie nadania stopnia doktora przysługuje odwołanie do Rady Doskonałości Naukowej za pośrednictwem Rady</w:t>
      </w:r>
      <w:r>
        <w:rPr>
          <w:spacing w:val="-2"/>
        </w:rPr>
        <w:t xml:space="preserve"> </w:t>
      </w:r>
      <w:r>
        <w:rPr/>
        <w:t>Instytutu.</w:t>
      </w:r>
    </w:p>
    <w:p>
      <w:pPr>
        <w:pStyle w:val="NormalWeb"/>
        <w:ind w:left="0" w:right="0" w:hanging="0"/>
        <w:rPr/>
      </w:pPr>
      <w:r>
        <w:rPr/>
        <w:t>2. Termin na wniesienie odwołania wynosi 30 dni od dnia doręczenia</w:t>
      </w:r>
      <w:r>
        <w:rPr>
          <w:spacing w:val="-10"/>
        </w:rPr>
        <w:t xml:space="preserve"> </w:t>
      </w:r>
      <w:r>
        <w:rPr/>
        <w:t>decyzji.</w:t>
      </w:r>
    </w:p>
    <w:p>
      <w:pPr>
        <w:pStyle w:val="NormalWeb"/>
        <w:ind w:left="0" w:right="108" w:hanging="0"/>
        <w:rPr/>
      </w:pPr>
      <w:r>
        <w:rPr/>
        <w:t>3. W przypadku niedopuszczenia do obrony rozprawy doktorskiej albo wydania decyzji o odmowie nadania stopnia doktora, ta sama rozprawa nie może być podstawą do ponownego ubiegania się o nadanie stopnia</w:t>
      </w:r>
      <w:r>
        <w:rPr>
          <w:spacing w:val="-4"/>
        </w:rPr>
        <w:t xml:space="preserve"> </w:t>
      </w:r>
      <w:r>
        <w:rPr/>
        <w:t>doktora.</w:t>
      </w:r>
    </w:p>
    <w:p>
      <w:pPr>
        <w:pStyle w:val="NormalWeb"/>
        <w:ind w:left="0" w:right="108" w:hanging="0"/>
        <w:rPr/>
      </w:pPr>
      <w:r>
        <w:rPr/>
        <w:t>4. Po wniesieniu odwołania Dyrektor Instytutu zleca Komisji doktorskiej albo co najmniej trzem członkom tej Komisji sporządzenie opinii na temat zasadności odwołania, w terminie nie dłuższym niż miesiąc od dnia wniesienia</w:t>
      </w:r>
      <w:r>
        <w:rPr>
          <w:spacing w:val="-8"/>
        </w:rPr>
        <w:t xml:space="preserve"> </w:t>
      </w:r>
      <w:r>
        <w:rPr/>
        <w:t>odwołania.</w:t>
      </w:r>
    </w:p>
    <w:p>
      <w:pPr>
        <w:pStyle w:val="Western"/>
        <w:ind w:left="0" w:right="0" w:hanging="0"/>
        <w:rPr>
          <w:rFonts w:ascii="Times New Roman" w:hAnsi="Times New Roman"/>
        </w:rPr>
      </w:pPr>
      <w:r>
        <w:rPr>
          <w:rFonts w:ascii="Times New Roman" w:hAnsi="Times New Roman"/>
        </w:rPr>
        <w:t>5. Na podstawie opinii, o której mowa w ust. 4, Rada</w:t>
      </w:r>
      <w:r>
        <w:rPr>
          <w:rFonts w:ascii="Times New Roman" w:hAnsi="Times New Roman"/>
          <w:spacing w:val="-4"/>
        </w:rPr>
        <w:t xml:space="preserve"> </w:t>
      </w:r>
      <w:r>
        <w:rPr>
          <w:rFonts w:ascii="Times New Roman" w:hAnsi="Times New Roman"/>
        </w:rPr>
        <w:t>Instytutu:</w:t>
      </w:r>
    </w:p>
    <w:p>
      <w:pPr>
        <w:pStyle w:val="NormalWeb"/>
        <w:ind w:left="708" w:right="108" w:hanging="0"/>
        <w:rPr/>
      </w:pPr>
      <w:r>
        <w:rPr/>
        <w:t>a) może uchylić lub zmienić zaskarżoną decyzję – jeżeli uzna, że odwołanie zasługuje w całości na uwzględnienie, w szczególności w przypadku zaistnienia oczywistych błędów formalnoprawnych wydanej decyzji</w:t>
      </w:r>
      <w:r>
        <w:rPr>
          <w:spacing w:val="-2"/>
        </w:rPr>
        <w:t xml:space="preserve"> </w:t>
      </w:r>
      <w:r>
        <w:rPr/>
        <w:t>albo</w:t>
      </w:r>
    </w:p>
    <w:p>
      <w:pPr>
        <w:pStyle w:val="NormalWeb"/>
        <w:ind w:left="708" w:right="108" w:hanging="0"/>
        <w:rPr/>
      </w:pPr>
      <w:r>
        <w:rPr/>
        <w:t>b) przyjmuje opinię, o której mowa w pkt. 4, w drodze uchwały i przekazuje odwołanie Radzie Doskonałości Naukowej wraz ze swoją opinią i aktami</w:t>
      </w:r>
      <w:r>
        <w:rPr>
          <w:spacing w:val="-4"/>
        </w:rPr>
        <w:t xml:space="preserve"> </w:t>
      </w:r>
      <w:r>
        <w:rPr/>
        <w:t>sprawy w terminie 3 miesięcy od dnia złożenia</w:t>
      </w:r>
      <w:r>
        <w:rPr>
          <w:spacing w:val="-4"/>
        </w:rPr>
        <w:t xml:space="preserve"> </w:t>
      </w:r>
      <w:r>
        <w:rPr/>
        <w:t>odwołania.</w:t>
      </w:r>
    </w:p>
    <w:p>
      <w:pPr>
        <w:pStyle w:val="Western"/>
        <w:ind w:left="0" w:right="0" w:hanging="0"/>
        <w:rPr>
          <w:rFonts w:ascii="Times New Roman" w:hAnsi="Times New Roman"/>
        </w:rPr>
      </w:pPr>
      <w:r>
        <w:rPr>
          <w:rFonts w:ascii="Times New Roman" w:hAnsi="Times New Roman"/>
        </w:rPr>
      </w:r>
    </w:p>
    <w:p>
      <w:pPr>
        <w:pStyle w:val="Nagwek2"/>
        <w:spacing w:beforeAutospacing="0" w:before="0" w:after="0"/>
        <w:ind w:left="0" w:right="301" w:hanging="0"/>
        <w:jc w:val="left"/>
        <w:rPr>
          <w:sz w:val="24"/>
          <w:szCs w:val="24"/>
        </w:rPr>
      </w:pPr>
      <w:r>
        <w:rPr>
          <w:sz w:val="24"/>
          <w:szCs w:val="24"/>
        </w:rPr>
        <w:t>Rozdział 8. Nadzór nad trybem postępowania i dokumentacją</w:t>
      </w:r>
    </w:p>
    <w:p>
      <w:pPr>
        <w:pStyle w:val="Nagwek2"/>
        <w:spacing w:before="0" w:after="0"/>
        <w:rPr>
          <w:sz w:val="24"/>
          <w:szCs w:val="24"/>
        </w:rPr>
      </w:pPr>
      <w:r>
        <w:rPr>
          <w:sz w:val="24"/>
          <w:szCs w:val="24"/>
        </w:rPr>
      </w:r>
    </w:p>
    <w:p>
      <w:pPr>
        <w:pStyle w:val="Nagwek2"/>
        <w:spacing w:before="0" w:after="0"/>
        <w:ind w:left="0" w:right="301" w:hanging="0"/>
        <w:jc w:val="left"/>
        <w:rPr>
          <w:b w:val="false"/>
          <w:b w:val="false"/>
          <w:sz w:val="24"/>
          <w:szCs w:val="24"/>
        </w:rPr>
      </w:pPr>
      <w:r>
        <w:rPr>
          <w:b w:val="false"/>
          <w:color w:val="2F5496"/>
          <w:sz w:val="24"/>
          <w:szCs w:val="24"/>
        </w:rPr>
        <w:t xml:space="preserve">§ </w:t>
      </w:r>
      <w:r>
        <w:rPr>
          <w:b w:val="false"/>
          <w:smallCaps/>
          <w:color w:val="2F5496"/>
          <w:sz w:val="24"/>
          <w:szCs w:val="24"/>
        </w:rPr>
        <w:t>24</w:t>
      </w:r>
      <w:r>
        <w:rPr>
          <w:b w:val="false"/>
          <w:color w:val="2F5496"/>
          <w:sz w:val="24"/>
          <w:szCs w:val="24"/>
        </w:rPr>
        <w:t xml:space="preserve"> </w:t>
      </w:r>
    </w:p>
    <w:p>
      <w:pPr>
        <w:pStyle w:val="Western"/>
        <w:ind w:left="0" w:right="0" w:hanging="0"/>
        <w:rPr>
          <w:rFonts w:ascii="Times New Roman" w:hAnsi="Times New Roman"/>
        </w:rPr>
      </w:pPr>
      <w:r>
        <w:rPr>
          <w:rFonts w:ascii="Times New Roman" w:hAnsi="Times New Roman"/>
        </w:rPr>
        <w:t>Nadzór nad trybem postępowania oraz dokumentacją sprawuje Sekretarz Instytutu; jest on również odpowiedzialny za umieszczanie informacji o każdym z etapów postępowania w systemie POL-on (czas na umieszczenie informacji: 21 dni po każdym etapie).</w:t>
      </w:r>
    </w:p>
    <w:p>
      <w:pPr>
        <w:pStyle w:val="Nagwek2"/>
        <w:spacing w:beforeAutospacing="0" w:before="0" w:after="0"/>
        <w:rPr>
          <w:sz w:val="24"/>
          <w:szCs w:val="24"/>
        </w:rPr>
      </w:pPr>
      <w:r>
        <w:rPr>
          <w:sz w:val="24"/>
          <w:szCs w:val="24"/>
        </w:rPr>
      </w:r>
    </w:p>
    <w:p>
      <w:pPr>
        <w:pStyle w:val="Nagwek2"/>
        <w:spacing w:before="0" w:after="0"/>
        <w:rPr>
          <w:sz w:val="24"/>
          <w:szCs w:val="24"/>
        </w:rPr>
      </w:pPr>
      <w:r>
        <w:rPr>
          <w:sz w:val="24"/>
          <w:szCs w:val="24"/>
        </w:rPr>
      </w:r>
    </w:p>
    <w:p>
      <w:pPr>
        <w:pStyle w:val="Nagwek2"/>
        <w:spacing w:before="0" w:after="0"/>
        <w:rPr>
          <w:sz w:val="24"/>
          <w:szCs w:val="24"/>
        </w:rPr>
      </w:pPr>
      <w:r>
        <w:rPr>
          <w:sz w:val="24"/>
          <w:szCs w:val="24"/>
        </w:rPr>
      </w:r>
    </w:p>
    <w:p>
      <w:pPr>
        <w:pStyle w:val="Nagwek2"/>
        <w:spacing w:before="0" w:after="0"/>
        <w:ind w:left="0" w:right="301" w:hanging="0"/>
        <w:jc w:val="left"/>
        <w:rPr>
          <w:sz w:val="24"/>
          <w:szCs w:val="24"/>
        </w:rPr>
      </w:pPr>
      <w:r>
        <w:rPr>
          <w:sz w:val="24"/>
          <w:szCs w:val="24"/>
        </w:rPr>
        <w:t>Rozdział 9. Opłaty</w:t>
      </w:r>
    </w:p>
    <w:p>
      <w:pPr>
        <w:pStyle w:val="Western"/>
        <w:ind w:left="0" w:right="0" w:hanging="0"/>
        <w:rPr>
          <w:rFonts w:ascii="Times New Roman" w:hAnsi="Times New Roman"/>
        </w:rPr>
      </w:pPr>
      <w:r>
        <w:rPr>
          <w:rFonts w:ascii="Times New Roman" w:hAnsi="Times New Roman"/>
          <w:color w:val="2F5496"/>
        </w:rPr>
        <w:t xml:space="preserve">§ </w:t>
      </w:r>
      <w:r>
        <w:rPr>
          <w:rFonts w:ascii="Times New Roman" w:hAnsi="Times New Roman"/>
          <w:smallCaps/>
          <w:color w:val="2F5496"/>
        </w:rPr>
        <w:t>25</w:t>
      </w:r>
      <w:r>
        <w:rPr>
          <w:rFonts w:ascii="Times New Roman" w:hAnsi="Times New Roman"/>
          <w:color w:val="2F5496"/>
        </w:rPr>
        <w:t xml:space="preserve"> </w:t>
      </w:r>
    </w:p>
    <w:p>
      <w:pPr>
        <w:pStyle w:val="NormalWeb"/>
        <w:ind w:left="0" w:right="108" w:hanging="0"/>
        <w:rPr/>
      </w:pPr>
      <w:r>
        <w:rPr/>
        <w:t xml:space="preserve">W przypadku osób, które rozpoczęły studia doktoranckie przed rokiem akademickim </w:t>
      </w:r>
      <w:r>
        <w:rPr>
          <w:smallCaps/>
        </w:rPr>
        <w:t>2</w:t>
      </w:r>
      <w:r>
        <w:rPr/>
        <w:t>0</w:t>
      </w:r>
      <w:r>
        <w:rPr>
          <w:smallCaps/>
        </w:rPr>
        <w:t>1</w:t>
      </w:r>
      <w:r>
        <w:rPr/>
        <w:t>9/</w:t>
      </w:r>
      <w:r>
        <w:rPr>
          <w:smallCaps/>
        </w:rPr>
        <w:t>2</w:t>
      </w:r>
      <w:r>
        <w:rPr/>
        <w:t>0</w:t>
      </w:r>
      <w:r>
        <w:rPr>
          <w:smallCaps/>
        </w:rPr>
        <w:t>2</w:t>
      </w:r>
      <w:r>
        <w:rPr/>
        <w:t>0 i ubiegają się o nadanie stopnia doktora na zasadach określonych w Ustawie nie pobiera się opłaty dla postępowań prowadzonych w toku studiów</w:t>
      </w:r>
      <w:r>
        <w:rPr>
          <w:spacing w:val="-2"/>
        </w:rPr>
        <w:t xml:space="preserve"> </w:t>
      </w:r>
      <w:r>
        <w:rPr/>
        <w:t>doktoranckich.</w:t>
      </w:r>
    </w:p>
    <w:p>
      <w:pPr>
        <w:pStyle w:val="Normal"/>
        <w:spacing w:lineRule="auto" w:line="240" w:beforeAutospacing="0" w:before="0" w:after="0"/>
        <w:rPr>
          <w:rFonts w:ascii="Times New Roman" w:hAnsi="Times New Roman" w:cs="Times New Roman"/>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Georgia">
    <w:charset w:val="ee"/>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rPr>
        <w:rFonts w:ascii="Calibri" w:hAnsi="Calibri" w:eastAsia="Times New Roman"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lvl w:ilvl="0">
      <w:start w:val="1"/>
      <w:numFmt w:val="lowerLetter"/>
      <w:lvlText w:val="%1)"/>
      <w:lvlJc w:val="left"/>
      <w:pPr>
        <w:tabs>
          <w:tab w:val="num" w:pos="720"/>
        </w:tabs>
        <w:ind w:left="720" w:hanging="360"/>
      </w:pPr>
      <w:rPr>
        <w:rFonts w:ascii="Calibri" w:hAnsi="Calibri" w:eastAsia="Times New Roman" w:cs="Calibr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lvl w:ilvl="0">
      <w:start w:val="1"/>
      <w:numFmt w:val="lowerLetter"/>
      <w:lvlText w:val="%1)"/>
      <w:lvlJc w:val="left"/>
      <w:pPr>
        <w:tabs>
          <w:tab w:val="num" w:pos="720"/>
        </w:tabs>
        <w:ind w:left="720" w:hanging="360"/>
      </w:pPr>
      <w:rPr>
        <w:rFonts w:ascii="Calibri" w:hAnsi="Calibri" w:eastAsia="Times New Roman"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lowerLetter"/>
      <w:lvlText w:val="%1)"/>
      <w:lvlJc w:val="left"/>
      <w:pPr>
        <w:tabs>
          <w:tab w:val="num" w:pos="720"/>
        </w:tabs>
        <w:ind w:left="720" w:hanging="360"/>
      </w:pPr>
      <w:rPr>
        <w:rFonts w:ascii="Calibri" w:hAnsi="Calibri" w:eastAsia="Times New Roman" w:cs="Calibri"/>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3"/>
      <w:numFmt w:val="lowerLetter"/>
      <w:lvlText w:val="%1)"/>
      <w:lvlJc w:val="left"/>
      <w:pPr>
        <w:tabs>
          <w:tab w:val="num" w:pos="0"/>
        </w:tabs>
        <w:ind w:left="1080" w:hanging="360"/>
      </w:pPr>
      <w:rPr>
        <w:sz w:val="22"/>
        <w:rFonts w:ascii="Calibri" w:hAnsi="Calibri" w:cs="Calib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1"/>
      <w:numFmt w:val="decimal"/>
      <w:lvlText w:val="%1."/>
      <w:lvlJc w:val="left"/>
      <w:pPr>
        <w:tabs>
          <w:tab w:val="num" w:pos="0"/>
        </w:tabs>
        <w:ind w:left="473" w:hanging="360"/>
      </w:pPr>
    </w:lvl>
    <w:lvl w:ilvl="1">
      <w:start w:val="1"/>
      <w:numFmt w:val="lowerLetter"/>
      <w:lvlText w:val="%2."/>
      <w:lvlJc w:val="left"/>
      <w:pPr>
        <w:tabs>
          <w:tab w:val="num" w:pos="0"/>
        </w:tabs>
        <w:ind w:left="1193" w:hanging="360"/>
      </w:pPr>
    </w:lvl>
    <w:lvl w:ilvl="2">
      <w:start w:val="1"/>
      <w:numFmt w:val="lowerRoman"/>
      <w:lvlText w:val="%3."/>
      <w:lvlJc w:val="right"/>
      <w:pPr>
        <w:tabs>
          <w:tab w:val="num" w:pos="0"/>
        </w:tabs>
        <w:ind w:left="1913" w:hanging="180"/>
      </w:pPr>
    </w:lvl>
    <w:lvl w:ilvl="3">
      <w:start w:val="1"/>
      <w:numFmt w:val="decimal"/>
      <w:lvlText w:val="%4."/>
      <w:lvlJc w:val="left"/>
      <w:pPr>
        <w:tabs>
          <w:tab w:val="num" w:pos="0"/>
        </w:tabs>
        <w:ind w:left="2633" w:hanging="360"/>
      </w:pPr>
    </w:lvl>
    <w:lvl w:ilvl="4">
      <w:start w:val="1"/>
      <w:numFmt w:val="lowerLetter"/>
      <w:lvlText w:val="%5."/>
      <w:lvlJc w:val="left"/>
      <w:pPr>
        <w:tabs>
          <w:tab w:val="num" w:pos="0"/>
        </w:tabs>
        <w:ind w:left="3353" w:hanging="360"/>
      </w:pPr>
    </w:lvl>
    <w:lvl w:ilvl="5">
      <w:start w:val="1"/>
      <w:numFmt w:val="lowerRoman"/>
      <w:lvlText w:val="%6."/>
      <w:lvlJc w:val="right"/>
      <w:pPr>
        <w:tabs>
          <w:tab w:val="num" w:pos="0"/>
        </w:tabs>
        <w:ind w:left="4073" w:hanging="180"/>
      </w:pPr>
    </w:lvl>
    <w:lvl w:ilvl="6">
      <w:start w:val="1"/>
      <w:numFmt w:val="decimal"/>
      <w:lvlText w:val="%7."/>
      <w:lvlJc w:val="left"/>
      <w:pPr>
        <w:tabs>
          <w:tab w:val="num" w:pos="0"/>
        </w:tabs>
        <w:ind w:left="4793" w:hanging="360"/>
      </w:pPr>
    </w:lvl>
    <w:lvl w:ilvl="7">
      <w:start w:val="1"/>
      <w:numFmt w:val="lowerLetter"/>
      <w:lvlText w:val="%8."/>
      <w:lvlJc w:val="left"/>
      <w:pPr>
        <w:tabs>
          <w:tab w:val="num" w:pos="0"/>
        </w:tabs>
        <w:ind w:left="5513" w:hanging="360"/>
      </w:pPr>
    </w:lvl>
    <w:lvl w:ilvl="8">
      <w:start w:val="1"/>
      <w:numFmt w:val="lowerRoman"/>
      <w:lvlText w:val="%9."/>
      <w:lvlJc w:val="right"/>
      <w:pPr>
        <w:tabs>
          <w:tab w:val="num" w:pos="0"/>
        </w:tabs>
        <w:ind w:left="6233" w:hanging="180"/>
      </w:pPr>
    </w:lvl>
  </w:abstractNum>
  <w:abstractNum w:abstractNumId="7">
    <w:lvl w:ilvl="0">
      <w:start w:val="1"/>
      <w:numFmt w:val="lowerLetter"/>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6"/>
    <w:lvlOverride w:ilvl="0">
      <w:startOverride w:val="1"/>
    </w:lvlOverride>
  </w:num>
  <w:num w:numId="10">
    <w:abstractNumId w:val="7"/>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e23cbd"/>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Nagwek2">
    <w:name w:val="Heading 2"/>
    <w:basedOn w:val="Normal"/>
    <w:link w:val="Nagwek2Znak"/>
    <w:uiPriority w:val="9"/>
    <w:qFormat/>
    <w:rsid w:val="00e23cbd"/>
    <w:pPr>
      <w:spacing w:lineRule="auto" w:line="240" w:before="74" w:after="0"/>
      <w:ind w:left="306" w:right="301" w:hanging="0"/>
      <w:jc w:val="center"/>
      <w:outlineLvl w:val="1"/>
    </w:pPr>
    <w:rPr>
      <w:rFonts w:ascii="Times New Roman" w:hAnsi="Times New Roman" w:eastAsia="Times New Roman" w:cs="Times New Roman"/>
      <w:b/>
      <w:bCs/>
      <w:sz w:val="36"/>
      <w:szCs w:val="36"/>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e23cbd"/>
    <w:rPr>
      <w:rFonts w:ascii="Times New Roman" w:hAnsi="Times New Roman" w:eastAsia="Times New Roman" w:cs="Times New Roman"/>
      <w:b/>
      <w:bCs/>
      <w:sz w:val="36"/>
      <w:szCs w:val="36"/>
      <w:lang w:eastAsia="pl-PL"/>
    </w:rPr>
  </w:style>
  <w:style w:type="character" w:styleId="Nagwek1Znak" w:customStyle="1">
    <w:name w:val="Nagłówek 1 Znak"/>
    <w:basedOn w:val="DefaultParagraphFont"/>
    <w:link w:val="Nagwek1"/>
    <w:uiPriority w:val="9"/>
    <w:qFormat/>
    <w:rsid w:val="00e23cbd"/>
    <w:rPr>
      <w:rFonts w:ascii="Calibri Light" w:hAnsi="Calibri Light" w:eastAsia="" w:cs="" w:asciiTheme="majorHAnsi" w:cstheme="majorBidi" w:eastAsiaTheme="majorEastAsia" w:hAnsiTheme="majorHAnsi"/>
      <w:color w:val="2E74B5" w:themeColor="accent1" w:themeShade="bf"/>
      <w:sz w:val="32"/>
      <w:szCs w:val="32"/>
    </w:rPr>
  </w:style>
  <w:style w:type="character" w:styleId="Annotationreference">
    <w:name w:val="annotation reference"/>
    <w:basedOn w:val="DefaultParagraphFont"/>
    <w:uiPriority w:val="99"/>
    <w:semiHidden/>
    <w:unhideWhenUsed/>
    <w:qFormat/>
    <w:rsid w:val="00c86e6b"/>
    <w:rPr>
      <w:sz w:val="16"/>
      <w:szCs w:val="16"/>
    </w:rPr>
  </w:style>
  <w:style w:type="character" w:styleId="TekstkomentarzaZnak" w:customStyle="1">
    <w:name w:val="Tekst komentarza Znak"/>
    <w:basedOn w:val="DefaultParagraphFont"/>
    <w:link w:val="Tekstkomentarza"/>
    <w:uiPriority w:val="99"/>
    <w:semiHidden/>
    <w:qFormat/>
    <w:rsid w:val="00c86e6b"/>
    <w:rPr>
      <w:sz w:val="20"/>
      <w:szCs w:val="20"/>
    </w:rPr>
  </w:style>
  <w:style w:type="character" w:styleId="TematkomentarzaZnak" w:customStyle="1">
    <w:name w:val="Temat komentarza Znak"/>
    <w:basedOn w:val="TekstkomentarzaZnak"/>
    <w:link w:val="Tematkomentarza"/>
    <w:uiPriority w:val="99"/>
    <w:semiHidden/>
    <w:qFormat/>
    <w:rsid w:val="00c86e6b"/>
    <w:rPr>
      <w:b/>
      <w:bCs/>
      <w:sz w:val="20"/>
      <w:szCs w:val="20"/>
    </w:rPr>
  </w:style>
  <w:style w:type="character" w:styleId="Appleconvertedspace" w:customStyle="1">
    <w:name w:val="apple-converted-space"/>
    <w:basedOn w:val="DefaultParagraphFont"/>
    <w:qFormat/>
    <w:rsid w:val="00bc07f4"/>
    <w:rPr/>
  </w:style>
  <w:style w:type="character" w:styleId="TekstdymkaZnak" w:customStyle="1">
    <w:name w:val="Tekst dymka Znak"/>
    <w:basedOn w:val="DefaultParagraphFont"/>
    <w:link w:val="Tekstdymka"/>
    <w:uiPriority w:val="99"/>
    <w:semiHidden/>
    <w:qFormat/>
    <w:rsid w:val="00e84ad0"/>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Times New Roman" w:hAnsi="Times New Roman"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ascii="Times New Roman" w:hAnsi="Times New Roman"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Times New Roman" w:hAnsi="Times New Roman" w:eastAsia="Microsoft YaHei" w:cs="Arial"/>
      <w:sz w:val="28"/>
      <w:szCs w:val="28"/>
    </w:rPr>
  </w:style>
  <w:style w:type="paragraph" w:styleId="Caption1">
    <w:name w:val="caption"/>
    <w:basedOn w:val="Normal"/>
    <w:qFormat/>
    <w:pPr>
      <w:suppressLineNumbers/>
      <w:spacing w:before="120" w:after="120"/>
    </w:pPr>
    <w:rPr>
      <w:rFonts w:ascii="Times New Roman" w:hAnsi="Times New Roman" w:cs="Arial"/>
      <w:i/>
      <w:iCs/>
      <w:sz w:val="24"/>
      <w:szCs w:val="24"/>
    </w:rPr>
  </w:style>
  <w:style w:type="paragraph" w:styleId="Western" w:customStyle="1">
    <w:name w:val="western"/>
    <w:basedOn w:val="Normal"/>
    <w:qFormat/>
    <w:rsid w:val="00e23cbd"/>
    <w:pPr>
      <w:spacing w:lineRule="auto" w:line="240" w:beforeAutospacing="1" w:after="0"/>
      <w:ind w:left="113" w:right="108" w:hanging="0"/>
      <w:jc w:val="both"/>
    </w:pPr>
    <w:rPr>
      <w:rFonts w:ascii="Georgia" w:hAnsi="Georgia" w:eastAsia="Times New Roman" w:cs="Times New Roman"/>
      <w:sz w:val="24"/>
      <w:szCs w:val="24"/>
      <w:lang w:eastAsia="pl-PL"/>
    </w:rPr>
  </w:style>
  <w:style w:type="paragraph" w:styleId="NormalWeb">
    <w:name w:val="Normal (Web)"/>
    <w:basedOn w:val="Normal"/>
    <w:uiPriority w:val="99"/>
    <w:unhideWhenUsed/>
    <w:qFormat/>
    <w:rsid w:val="00e23cbd"/>
    <w:pPr>
      <w:spacing w:lineRule="auto" w:line="240" w:beforeAutospacing="1" w:after="0"/>
      <w:ind w:left="113" w:right="108" w:hanging="0"/>
      <w:jc w:val="both"/>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a0363a"/>
    <w:pPr>
      <w:suppressAutoHyphens w:val="false"/>
      <w:spacing w:before="0" w:after="160"/>
      <w:ind w:left="720" w:hanging="0"/>
      <w:contextualSpacing/>
    </w:pPr>
    <w:rPr/>
  </w:style>
  <w:style w:type="paragraph" w:styleId="Annotationtext">
    <w:name w:val="annotation text"/>
    <w:basedOn w:val="Normal"/>
    <w:link w:val="TekstkomentarzaZnak"/>
    <w:uiPriority w:val="99"/>
    <w:semiHidden/>
    <w:unhideWhenUsed/>
    <w:qFormat/>
    <w:rsid w:val="00c86e6b"/>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c86e6b"/>
    <w:pPr/>
    <w:rPr>
      <w:b/>
      <w:bCs/>
    </w:rPr>
  </w:style>
  <w:style w:type="paragraph" w:styleId="BalloonText">
    <w:name w:val="Balloon Text"/>
    <w:basedOn w:val="Normal"/>
    <w:link w:val="TekstdymkaZnak"/>
    <w:uiPriority w:val="99"/>
    <w:semiHidden/>
    <w:unhideWhenUsed/>
    <w:qFormat/>
    <w:rsid w:val="00e84ad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3F6A181F-4C36-489F-B3CF-216B6C213CC6}">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Application>LibreOffice/7.0.4.2$Windows_X86_64 LibreOffice_project/dcf040e67528d9187c66b2379df5ea4407429775</Application>
  <AppVersion>15.0000</AppVersion>
  <Pages>13</Pages>
  <Words>4432</Words>
  <Characters>28991</Characters>
  <CharactersWithSpaces>33240</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2021-06-08T16:36:00Z</dcterms:created>
  <dc:creator>Magda Wawrzusiszyn</dc:creator>
  <dc:description/>
  <dc:language>pl-PL</dc:language>
  <cp:lastModifiedBy>rec.</cp:lastModifiedBy>
  <dcterms:modified xsi:type="dcterms:W3CDTF">2022-03-31T06:36:00Z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