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both"/>
        <w:rPr>
          <w:rFonts w:cs="Calibri"/>
          <w:b/>
          <w:b/>
        </w:rPr>
      </w:pPr>
      <w:bookmarkStart w:id="0" w:name="_GoBack"/>
      <w:bookmarkEnd w:id="0"/>
      <w:r>
        <w:rPr>
          <w:rFonts w:cs="Calibri"/>
          <w:b/>
        </w:rPr>
        <w:t>Załącznik nr 8</w:t>
      </w:r>
    </w:p>
    <w:p>
      <w:pPr>
        <w:pStyle w:val="Standard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</w:t>
      </w:r>
    </w:p>
    <w:tbl>
      <w:tblPr>
        <w:tblW w:w="949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696"/>
        <w:gridCol w:w="1714"/>
        <w:gridCol w:w="1136"/>
        <w:gridCol w:w="992"/>
        <w:gridCol w:w="2833"/>
        <w:gridCol w:w="1121"/>
      </w:tblGrid>
      <w:tr>
        <w:trPr>
          <w:trHeight w:val="529" w:hRule="exact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ind w:left="-108" w:hanging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>
        <w:trPr>
          <w:trHeight w:val="673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2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telefonu/ adres email: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38" w:hRule="exac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Dyscyplina: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08" w:hRule="atLeast"/>
        </w:trPr>
        <w:tc>
          <w:tcPr>
            <w:tcW w:w="9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432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0" w:hRule="atLeast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414" w:hRule="atLeast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Kosztorys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bCs/>
                <w:sz w:val="20"/>
                <w:szCs w:val="20"/>
              </w:rPr>
              <w:t xml:space="preserve">zatwierdzony przez </w:t>
            </w:r>
            <w:r>
              <w:rPr>
                <w:rFonts w:cs="Calibri"/>
                <w:sz w:val="20"/>
                <w:szCs w:val="20"/>
              </w:rPr>
              <w:t>Komisję ds. oceny grantów</w:t>
            </w:r>
          </w:p>
        </w:tc>
        <w:tc>
          <w:tcPr>
            <w:tcW w:w="1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</w:t>
            </w:r>
            <w:r>
              <w:rPr>
                <w:rFonts w:cs="Calibri"/>
                <w:b/>
                <w:bCs/>
                <w:sz w:val="18"/>
                <w:szCs w:val="18"/>
              </w:rPr>
              <w:t>O</w:t>
            </w:r>
            <w:r>
              <w:rPr>
                <w:rFonts w:cs="Calibri"/>
                <w:b/>
                <w:bCs/>
                <w:sz w:val="18"/>
                <w:szCs w:val="18"/>
              </w:rPr>
              <w:t>SKOWANA KOREKTA</w:t>
            </w:r>
          </w:p>
        </w:tc>
      </w:tr>
      <w:tr>
        <w:trPr>
          <w:trHeight w:val="396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>
        <w:trPr>
          <w:trHeight w:val="994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zakupy materiałów (jakie wymienić) wynagrodzenia dla pracowników pomocniczych**  (za co wymienić)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6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zakupy materiałów (jakie wymienić)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zakup usług (jakie, wymienić)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4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zakup sprzętu, aparatury (jakie, wymienić)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17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31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832" w:hRule="atLeast"/>
        </w:trPr>
        <w:tc>
          <w:tcPr>
            <w:tcW w:w="16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/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  <w:t></w:t>
            </w:r>
            <w:r>
              <w:rPr>
                <w:rFonts w:cs="Calibri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Uzasadnienie korekty: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Standard"/>
        <w:spacing w:lineRule="auto" w:line="240" w:before="0" w:after="0"/>
        <w:jc w:val="both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</w:rPr>
      </w:pPr>
      <w:r>
        <w:rPr>
          <w:rFonts w:cs="Calibri"/>
        </w:rPr>
        <w:t>…………………………………………………</w:t>
      </w:r>
    </w:p>
    <w:p>
      <w:pPr>
        <w:pStyle w:val="Standard"/>
        <w:spacing w:lineRule="auto" w:line="240" w:before="0" w:after="0"/>
        <w:jc w:val="right"/>
        <w:rPr>
          <w:rFonts w:cs="Calibri"/>
          <w:i/>
          <w:i/>
        </w:rPr>
      </w:pPr>
      <w:r>
        <w:rPr>
          <w:rFonts w:cs="Calibri"/>
          <w:i/>
        </w:rPr>
        <w:t>(data, podpis kierownika grantu)</w:t>
      </w:r>
    </w:p>
    <w:sectPr>
      <w:type w:val="nextPage"/>
      <w:pgSz w:w="11906" w:h="17338"/>
      <w:pgMar w:left="1247" w:right="1040" w:header="0" w:top="1854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LibreOffice/7.0.4.2$Windows_X86_64 LibreOffice_project/dcf040e67528d9187c66b2379df5ea4407429775</Application>
  <AppVersion>15.0000</AppVersion>
  <Pages>1</Pages>
  <Words>100</Words>
  <Characters>773</Characters>
  <CharactersWithSpaces>846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2022-01-24T09:59:00Z</dcterms:created>
  <dc:creator>Bożena Żurek</dc:creator>
  <dc:description/>
  <dc:language>pl-PL</dc:language>
  <cp:lastModifiedBy/>
  <cp:lastPrinted>2022-01-21T08:37:00Z</cp:lastPrinted>
  <dcterms:modified xsi:type="dcterms:W3CDTF">2022-02-08T10:27:50Z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