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befor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28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 Wielkiej Brytanii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History of England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Nauki o kulturze i religii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Tomasz Niedokos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znajomości języka angielskiego B1+</w:t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400.92529296875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Poznanie historii Anglii od prehistorii do czasów obecnych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Poznanie historii Anglii w powiązaniu z historią powszechną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Wpojenie nawyku kojarzenia faktów historycznych z faktami kulturowymi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wydarzenia i procesy z Historii Anglii i Wielkiej Brytanii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interpretuje teksty kultury w ich kontekście historycznym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opisuje historyczny charakter rozwoju języka angielskiego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historyczne podłoże dylematów współczesnych cywilizacji krajów obszaru języka angielskiego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demonstruje otwartość wobec innych kultur i zrozumienie ich uwarunkowań historycznych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K_K04,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rozumie znaczenie wiedzy z zakresu historii Anglii i Wielkiej Brytanii w organizacji i przeprowadzaniu przedsięwzięć w sferze publicznej i medialnej, tłumaczeń itp.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8919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19"/>
        <w:tblGridChange w:id="0">
          <w:tblGrid>
            <w:gridCol w:w="89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Pierwsi najeźdźcy i osadnicy: Iberowie i Celtowie, Rzymska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Brytania.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Najazd plemion anglosaskich. Powrót chrześcijaństwa. Heptarchia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Podbój Anglii przez Normanów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Magna Carta Liberatum i początki parlamentaryzmu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Wojna Stuletnia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 Reformacja w Anglii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Okres elżbietański i potęga morska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Panowanie Stuartów. Wojna Domowa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Rewolucja Francuska i wojny napoleońskie.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Rewolucja przemysłowa.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Okres wiktoriański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Pierwsza Wojna Światowa.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 Przemiany społeczne po I Wojnie Światowej. Wielki Kryzys.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Druga Wojna Światowa.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Powstanie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Welfare State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zmierzch imperium.</w:t>
            </w:r>
          </w:p>
        </w:tc>
      </w:tr>
    </w:tbl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11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konwencjonalny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Egzamin roczny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poprawiony egzamin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Egzamin roczny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poprawiony egzamin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Egzamin roczny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poprawiony egzamin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Egzamin roczny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poprawiony egzamin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Egzamin roczny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poprawiony egzamin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Egzamin roczny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poprawiony egzamin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Głównym kryterium oceny jest wynik egzaminu pisemnego po zakończeniu pierwszego semestru, w którym należy uzyskać 60% aby go zdać. Ocena może być modyfikowana poprzez uwzględnienie aktywności studenta na zajęciach. Skala ocen: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60-67 – 3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68-75 – 3,5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76-83 – 4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84-91 – 4,5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92-100 – 5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4"/>
        </w:numPr>
        <w:spacing w:line="240" w:lineRule="auto"/>
        <w:ind w:left="1080" w:hanging="72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Literatura</w:t>
      </w:r>
      <w:r w:rsidDel="00000000" w:rsidR="00000000" w:rsidRPr="00000000">
        <w:rPr>
          <w:rtl w:val="0"/>
        </w:rPr>
      </w:r>
    </w:p>
    <w:tbl>
      <w:tblPr>
        <w:tblStyle w:val="Table10"/>
        <w:tblW w:w="11606.000000000002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gridCol w:w="2544"/>
        <w:tblGridChange w:id="0">
          <w:tblGrid>
            <w:gridCol w:w="9062"/>
            <w:gridCol w:w="254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Ridley, J. "The History of England"</w:t>
            </w:r>
            <w:r w:rsidDel="00000000" w:rsidR="00000000" w:rsidRPr="00000000">
              <w:rPr>
                <w:rFonts w:ascii="Arimo" w:cs="Arimo" w:eastAsia="Arimo" w:hAnsi="Arimo"/>
                <w:color w:val="333333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Trevelyan  G. M.  "History of  England"</w:t>
            </w:r>
            <w:r w:rsidDel="00000000" w:rsidR="00000000" w:rsidRPr="00000000">
              <w:rPr>
                <w:rFonts w:ascii="Arimo" w:cs="Arimo" w:eastAsia="Arimo" w:hAnsi="Arimo"/>
                <w:color w:val="333333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Schama S. "The History of Britain"</w:t>
            </w:r>
            <w:r w:rsidDel="00000000" w:rsidR="00000000" w:rsidRPr="00000000">
              <w:rPr>
                <w:rFonts w:ascii="Arimo" w:cs="Arimo" w:eastAsia="Arimo" w:hAnsi="Arimo"/>
                <w:color w:val="333333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Morgan  K. O. "The History of Britain"</w:t>
            </w:r>
            <w:r w:rsidDel="00000000" w:rsidR="00000000" w:rsidRPr="00000000">
              <w:rPr>
                <w:rFonts w:ascii="Arimo" w:cs="Arimo" w:eastAsia="Arimo" w:hAnsi="Arimo"/>
                <w:color w:val="333333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Davies N. "The Isles"</w:t>
            </w:r>
            <w:r w:rsidDel="00000000" w:rsidR="00000000" w:rsidRPr="00000000">
              <w:rPr>
                <w:rFonts w:ascii="Arimo" w:cs="Arimo" w:eastAsia="Arimo" w:hAnsi="Arimo"/>
                <w:color w:val="333333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McDowall D.  "An Illustrated History of England"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837890625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Zins H. "Historia Anglii"</w:t>
            </w:r>
            <w:r w:rsidDel="00000000" w:rsidR="00000000" w:rsidRPr="00000000">
              <w:rPr>
                <w:rFonts w:ascii="Arimo" w:cs="Arimo" w:eastAsia="Arimo" w:hAnsi="Arimo"/>
                <w:color w:val="333333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Maurois A. „Dzieje Anglii”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spacing w:befor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    </w:t>
    </w: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862" w:hanging="72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3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cs="Arial Unicode MS"/>
      <w:color w:val="000000"/>
      <w:sz w:val="22"/>
      <w:szCs w:val="22"/>
      <w:u w:color="000000"/>
    </w:rPr>
  </w:style>
  <w:style w:type="paragraph" w:styleId="TableStyle2A" w:customStyle="1">
    <w:name w:val="Table Style 2 A"/>
    <w:pPr>
      <w:spacing w:after="200" w:line="276" w:lineRule="auto"/>
    </w:pPr>
    <w:rPr>
      <w:rFonts w:cs="Arial Unicode MS"/>
      <w:color w:val="000000"/>
      <w:u w:color="000000"/>
      <w:lang w:val="en-US"/>
    </w:rPr>
  </w:style>
  <w:style w:type="table" w:styleId="Tabela-Siatka">
    <w:name w:val="Table Grid"/>
    <w:basedOn w:val="Standardowy"/>
    <w:uiPriority w:val="39"/>
    <w:rsid w:val="00DE672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opka">
    <w:name w:val="footer"/>
    <w:basedOn w:val="Normalny"/>
    <w:link w:val="StopkaZnak"/>
    <w:uiPriority w:val="99"/>
    <w:unhideWhenUsed w:val="1"/>
    <w:rsid w:val="002751A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751AE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FJTe8e9YSTXNKboxMUFlnmkL1Q==">CgMxLjAyCGguZ2pkZ3hzOAByITFSMXBjVmJpUWZfSkRuVmFUbE5ZdFZUTmhZVmN2dUY5dw==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2021-09-16T18:09:00Z</dcterms:created>
</cp:coreProperties>
</file>