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Literary studies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A. Bednarski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Znajomość języka angielskiego - poziom B2 / C1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Podstawowe wiadomości z zakresu historii i teorii literatury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Wprowadzenie podstawowych pojęć, definicji, teorii i narzędzi analizy związanych z teorią literatury i jej interakcji z tzw. nowymi mediami (komiks, film, gry komputerowe).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Wykształcenie umiejętności samodzielnej analizy tekstów literatury w szerszym kontekście tekstów kultury.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Przygotowanie studentów do samodzielnej pracy prowadzącej do napisania pracy magisterskiej.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6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podstawowe pojęcia z zakresu prawa autorskiego i ich znaczenie w prowadzeniu badań naukowych.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podstawowe zasady poszanowania własności intelektualnej i ich związek z uprawianą dyscypliną.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opisuje uwarunkowania ekonomiczne, prawne i etyczne uprawianych badań.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korzysta z różnych źródeł naukowych i przedstawiać ich stanowiska w formie prezentacji;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 K_U04, K_U05, K_U07,  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samodzielnie interpretuje teksty kultury pod kątem analizowanych zagadnień dotyczących literatury i nowych mediów;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K_U05,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przedstawia efekty swoich badań w formie samodzielnej naukowej pracy pisemnej.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gotów do krytycznej oceny omawianych treści oraz własnej wiedzy i umiejętności;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K_K01, 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jest gotów do ciągłego rozwoju swojej wiedzy i umiejętności, dbając o jego aspekty etyczne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" w:right="0" w:hanging="216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b w:val="1"/>
          <w:highlight w:val="lightGray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5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Roczny kurs, którego celem jest przygotowanie studentów do dalszej samodzielnej pracy nad rozprawą magisterską. Zakres tematyczny kursu obejmuje zagadnienia związane ze współczesną literaturą anglojęzyczną i formami hybrydowymi jak film czy komiks. Tematy prac muszą dotyczyć obszarów wyznaczonych przez prowadzącego, a wybór materiału badawczego (powieść, film i/lub komiks) dokonywany jest z przedstawionej przez niego listy tekstów. Kurs zawiera przegląd najważniejszych zagadnień związanych z określonymi przez promotora obszarami badań i przedstawioną listą lektur. Obszary badawcze to m.in. średniowieczna i współczesna literatura (głównie proza) walijska w j. angielskim i w tłumaczeniu z j. walijskiego, elementy sztuki i obrazu w literaturze, motywy arturiańskie w literaturze i kulturze, elementy literatury fantasy i SF, a także komiks i jego powiązania z literaturą. Część praktyczna kursu obejmuje wprowadzenie do metodologii pracy nad rozprawą magisterską; pracę nad projektem rozprawy; konsultacje dotyczące indywidualnych projektów oraz ich prezentację i dyskusję na zajęciach.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widowControl w:val="0"/>
        <w:pBdr>
          <w:top w:space="0" w:sz="0" w:val="nil"/>
        </w:pBd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1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kierunkiem, praca z tekstem,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 na zajęciach, przygotowanie prezentacji,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kierunkiem, praca z tekstem,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 na zajęciach, przygotowanie prezentacji,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pod kierunkiem, praca z tekstem, 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Wypowiedź ustna na zajęciach, przygotowanie prezentacji,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na zajęciach,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praca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 na zajęciach,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badawcza pod kierunkiem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Dyskusja, praca pisemna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Oceniona praca pisemna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parach, metoda sokratyczna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na zajęciach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parach, metoda sokratyczna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na zajęciach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pBdr>
          <w:top w:space="0" w:sz="0" w:val="nil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Warunki uzyskania zaliczenia:</w:t>
      </w:r>
    </w:p>
    <w:p w:rsidR="00000000" w:rsidDel="00000000" w:rsidP="00000000" w:rsidRDefault="00000000" w:rsidRPr="00000000" w14:paraId="000000BA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uczestnictwo w zajęciach (dopuszczalne 3 nieobecności w semestrze);</w:t>
      </w:r>
    </w:p>
    <w:p w:rsidR="00000000" w:rsidDel="00000000" w:rsidP="00000000" w:rsidRDefault="00000000" w:rsidRPr="00000000" w14:paraId="000000B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uczestnictwo w dyskusjach, przygotowywanie zadanych partii materiału, przedstawianie ich na zajęciach w formie krótkich samodzielnych lub grupowych prezentacji;</w:t>
      </w:r>
    </w:p>
    <w:p w:rsidR="00000000" w:rsidDel="00000000" w:rsidP="00000000" w:rsidRDefault="00000000" w:rsidRPr="00000000" w14:paraId="000000B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przygotowanie pisemne i przedyskutowanie wstępnego projektu pracy nad rozprawą magisterską (obejmującego m.in. temat, główne zagadnienia, wstępny plan i wybraną bibliografię) – koniec I semestru;</w:t>
      </w:r>
    </w:p>
    <w:p w:rsidR="00000000" w:rsidDel="00000000" w:rsidP="00000000" w:rsidRDefault="00000000" w:rsidRPr="00000000" w14:paraId="000000B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przedstawienie pisemnej wersji pierwszego rozdziału rozprawy magisterskiej – koniec II semestru. </w:t>
      </w:r>
    </w:p>
    <w:p w:rsidR="00000000" w:rsidDel="00000000" w:rsidP="00000000" w:rsidRDefault="00000000" w:rsidRPr="00000000" w14:paraId="000000B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555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152.0" w:type="dxa"/>
            </w:tcMar>
          </w:tcPr>
          <w:p w:rsidR="00000000" w:rsidDel="00000000" w:rsidP="00000000" w:rsidRDefault="00000000" w:rsidRPr="00000000" w14:paraId="000000C9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color w:val="1a17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718"/>
                <w:rtl w:val="0"/>
              </w:rPr>
              <w:t xml:space="preserve">Podana poniżej lista literatury, oprócz podręczników pisania akademickiego, ma przykładowy charakter; dobór tekstów zależy od problematyki seminarium w danym roku i tematów prac magisterskich:</w:t>
            </w:r>
          </w:p>
          <w:p w:rsidR="00000000" w:rsidDel="00000000" w:rsidP="00000000" w:rsidRDefault="00000000" w:rsidRPr="00000000" w14:paraId="000000CA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  <w:color w:val="1a17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718"/>
                <w:rtl w:val="0"/>
              </w:rPr>
              <w:t xml:space="preserve">Barry, Peter.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1a1718"/>
                <w:rtl w:val="0"/>
              </w:rPr>
              <w:t xml:space="preserve">Beginning Theory: An Introduction to Literary and Cultural Theory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718"/>
                <w:rtl w:val="0"/>
              </w:rPr>
              <w:t xml:space="preserve">. Manchester: Manchester University Press, 1995.</w:t>
            </w:r>
          </w:p>
          <w:p w:rsidR="00000000" w:rsidDel="00000000" w:rsidP="00000000" w:rsidRDefault="00000000" w:rsidRPr="00000000" w14:paraId="000000C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Handbook of Intermediality. Literature – Image – Sound – Music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Ed. Gabriele Rippl. Berlin: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     </w:t>
              <w:tab/>
              <w:t xml:space="preserve">De Gruyter 2015</w:t>
            </w:r>
          </w:p>
          <w:p w:rsidR="00000000" w:rsidDel="00000000" w:rsidP="00000000" w:rsidRDefault="00000000" w:rsidRPr="00000000" w14:paraId="000000CC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Hawthorn, Jeremy.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Studying the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Bloomsbury. 2010.</w:t>
            </w:r>
          </w:p>
          <w:p w:rsidR="00000000" w:rsidDel="00000000" w:rsidP="00000000" w:rsidRDefault="00000000" w:rsidRPr="00000000" w14:paraId="000000CD">
            <w:pPr>
              <w:spacing w:after="240" w:before="24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Koch, John T. (Ed.)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Celtic Culture: A Historical Encyclopedia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ABC-CLIO 2006.</w:t>
            </w:r>
          </w:p>
          <w:p w:rsidR="00000000" w:rsidDel="00000000" w:rsidP="00000000" w:rsidRDefault="00000000" w:rsidRPr="00000000" w14:paraId="000000CE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Louvel, Liliane.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Poetics of Iconotext– the typology of degrees of pictorial saturation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          Trans. Laurence Petit, Farnham: Ashgate 2011</w:t>
            </w:r>
          </w:p>
          <w:p w:rsidR="00000000" w:rsidDel="00000000" w:rsidP="00000000" w:rsidRDefault="00000000" w:rsidRPr="00000000" w14:paraId="000000CF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Lund, Hans.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Text as Picture: Studies in the Literary Transformation of Pict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ures. Trans. Kacke Götrick, Lampeter: The Edwin Mellen Press, 1992.</w:t>
            </w:r>
          </w:p>
          <w:p w:rsidR="00000000" w:rsidDel="00000000" w:rsidP="00000000" w:rsidRDefault="00000000" w:rsidRPr="00000000" w14:paraId="000000D0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Mullan, John.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How Novels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Oxford: Oxford University Press, 2006.  </w:t>
            </w:r>
          </w:p>
          <w:p w:rsidR="00000000" w:rsidDel="00000000" w:rsidP="00000000" w:rsidRDefault="00000000" w:rsidRPr="00000000" w14:paraId="000000D1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Rimmon-Kenan, Shlomith.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Narrative Fiction: Contemporary Poetics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Routledge,            1999.</w:t>
            </w:r>
          </w:p>
          <w:p w:rsidR="00000000" w:rsidDel="00000000" w:rsidP="00000000" w:rsidRDefault="00000000" w:rsidRPr="00000000" w14:paraId="000000D2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Sawa, Magdalena.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highlight w:val="white"/>
                <w:rtl w:val="0"/>
              </w:rPr>
              <w:t xml:space="preserve">Ekphrasis in Modern British Fiction. A Pro-narrative Approach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, Lublin: Wydawnictwo KUL, 2015.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 zależności od opracowywanego tematu, literatura czytana przez studentów, konieczna do napisania pracy licencjackiej.</w:t>
            </w:r>
          </w:p>
          <w:p w:rsidR="00000000" w:rsidDel="00000000" w:rsidP="00000000" w:rsidRDefault="00000000" w:rsidRPr="00000000" w14:paraId="000000D5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Bailey,  Stephen,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Academic Writing: A Practical Guide for Students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London, 2004.</w:t>
            </w:r>
          </w:p>
          <w:p w:rsidR="00000000" w:rsidDel="00000000" w:rsidP="00000000" w:rsidRDefault="00000000" w:rsidRPr="00000000" w14:paraId="000000D6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Bradbury, Malcolm.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Modern British Novel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Penguin, 1994.</w:t>
            </w:r>
          </w:p>
          <w:p w:rsidR="00000000" w:rsidDel="00000000" w:rsidP="00000000" w:rsidRDefault="00000000" w:rsidRPr="00000000" w14:paraId="000000D7">
            <w:pPr>
              <w:spacing w:after="240" w:before="240" w:line="240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Burzyńska, Anna and Michał Paweł Markowski.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Teorie Literatury XX wieku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Znak, 2006.</w:t>
            </w:r>
          </w:p>
          <w:p w:rsidR="00000000" w:rsidDel="00000000" w:rsidP="00000000" w:rsidRDefault="00000000" w:rsidRPr="00000000" w14:paraId="000000D8">
            <w:pPr>
              <w:spacing w:after="240" w:before="240" w:line="261.818181818181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Kennedy, X. J. et al.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The Bedford Guide for College Writers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5th ed. Boston.</w:t>
            </w:r>
          </w:p>
          <w:p w:rsidR="00000000" w:rsidDel="00000000" w:rsidP="00000000" w:rsidRDefault="00000000" w:rsidRPr="00000000" w14:paraId="000000D9">
            <w:pPr>
              <w:spacing w:after="240" w:before="240" w:line="261.8181818181818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Klarer, Mario.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An Introduction to Literary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Routledge, 2006.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ind w:left="720" w:right="72" w:hanging="72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Rennison, Nick.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Contemporary British Novelists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London: Routledge, 2005.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</w:tabs>
        <w:spacing w:after="200" w:before="0" w:line="240" w:lineRule="auto"/>
        <w:ind w:left="9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72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66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72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72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66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72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72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66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  <w:lang w:val="en-US"/>
    </w:rPr>
  </w:style>
  <w:style w:type="paragraph" w:styleId="TableStyle2" w:customStyle="1">
    <w:name w:val="Table Style 2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D46DD8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46DD8"/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1GW7fJZ4FvyfQfk+Ma2vzqOc9A==">CgMxLjAyCGguZ2pkZ3hzOAByITF2bjNsR2V5eEpNTnlGck5ybzFROWJBTS1DOTFqeGs0MQ==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2021-09-22T11:28:00Z</dcterms:created>
</cp:coreProperties>
</file>