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498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49"/>
        <w:gridCol w:w="4749"/>
        <w:tblGridChange w:id="0">
          <w:tblGrid>
            <w:gridCol w:w="4749"/>
            <w:gridCol w:w="474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Teorie przekładoznawcze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Theories in translation studies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782"/>
        <w:gridCol w:w="4782"/>
        <w:tblGridChange w:id="0">
          <w:tblGrid>
            <w:gridCol w:w="4782"/>
            <w:gridCol w:w="478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Jerzy Skwarzyński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91"/>
        <w:gridCol w:w="2391"/>
        <w:gridCol w:w="2391"/>
        <w:gridCol w:w="2391"/>
        <w:tblGridChange w:id="0">
          <w:tblGrid>
            <w:gridCol w:w="2391"/>
            <w:gridCol w:w="2391"/>
            <w:gridCol w:w="2391"/>
            <w:gridCol w:w="239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587"/>
        <w:gridCol w:w="6977"/>
        <w:tblGridChange w:id="0">
          <w:tblGrid>
            <w:gridCol w:w="2587"/>
            <w:gridCol w:w="6977"/>
          </w:tblGrid>
        </w:tblGridChange>
      </w:tblGrid>
      <w:tr>
        <w:trPr>
          <w:cantSplit w:val="0"/>
          <w:trHeight w:val="15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Kompetencja językowa na poziomie przynajmniej CEF: C1.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Poszerzona znajomość współczesnej literatury i kultury amerykańskiej.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Podstawowe umiejętności analizy i interpretacji tekstów kultury.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64"/>
        <w:tblGridChange w:id="0">
          <w:tblGrid>
            <w:gridCol w:w="956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Dogłębna analiza wybranych aspektów współczesnej literatury anglosaskiej.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Przygotowanie metodologiczne i językowe do analizy tekstu krytycznego.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498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08"/>
        <w:gridCol w:w="5712"/>
        <w:gridCol w:w="2378"/>
        <w:tblGridChange w:id="0">
          <w:tblGrid>
            <w:gridCol w:w="1408"/>
            <w:gridCol w:w="5712"/>
            <w:gridCol w:w="2378"/>
          </w:tblGrid>
        </w:tblGridChange>
      </w:tblGrid>
      <w:tr>
        <w:trPr>
          <w:cantSplit w:val="0"/>
          <w:trHeight w:val="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 sposób precyzyjny opisuje problematykę metodologiczną nauk humanistycznych oraz relacje między badaniami literackimi a badaniami nad kulturą anglosaską.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K_W02, K_W07,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 sposób precyzyjny i logicznie poprawny opisuje metody analizy i zasady interpretacji utworu literackiego.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w sposób precyzyjny i logiczny problem naukowości w badaniach nad współczesną literaturą i kulturą anglosaską.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przeprowadza krytyczną analizę i interpretację utworu z kanonu współczesnej literatury anglosaskiej, uwzględniając obecny stan badań w dziedzinie literaturoznawstwa i kulturoznawstwa.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K_U01, K_U02,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przejrzyście, zwięźle, logicznie i językowo poprawnie przedstawia wyniki przeprowadzonych badań zarówno w formie pisemnej, jak i ustnej.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używa nabytych podczas kursu zdolności do organizowania wydarzeń naukowych i kulturalnych wspierających postawę otwartości wobec innych tradycji i kultur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20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64"/>
        <w:tblGridChange w:id="0">
          <w:tblGrid>
            <w:gridCol w:w="9564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Geneza i charakterystyka teorii przekładoznawczych i ich zastosowanie przy analizie przekładów w formie wykładów.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 z krytycznej analizy przekładów tekstów literackich.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after="10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Teoretycy, poeci, prozaicy i filozofowie, których koncepcje będą przedmiotem zajęć, to m.in.: Hieronim ze Strydonu, Friedrich Schleiermacher, John Dryden, Johann Wolfgang von Goethe, Walter Benjamin, Ezra Pound, Vladimir Nabokov, Jean-Paul Vinay &amp; Jean Darbelnet, Roman Jakobson, Eugene Nida, George Steiner, Itamar Even-Zohar, Gideon Toury, J.C. Catford, Jiři Levý, Katharina Reiss, Hans J. Vermeer, Antoine Berman, Lori Chamberlain, Lawrence Venuti, Gayatri Chakravorty Spivak, Kwame Anthony Appiah oraz Michael Cronin.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418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435"/>
        <w:gridCol w:w="2649"/>
        <w:gridCol w:w="2790"/>
        <w:gridCol w:w="2544"/>
        <w:tblGridChange w:id="0">
          <w:tblGrid>
            <w:gridCol w:w="1435"/>
            <w:gridCol w:w="2649"/>
            <w:gridCol w:w="2790"/>
            <w:gridCol w:w="2544"/>
          </w:tblGrid>
        </w:tblGridChange>
      </w:tblGrid>
      <w:tr>
        <w:trPr>
          <w:cantSplit w:val="0"/>
          <w:trHeight w:val="7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Krótka wypowiedź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Krótka wypowiedź ustna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 krótka wypowiedź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Prezentacja, krótka wypowiedź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oceniony tekst pracy pisemnej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Krótka wypowiedź ustna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Protokół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indywidualna i zespołowa, prezentacje indywidualne i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Krótka wypowiedź ustna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Protokół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Warunki zaliczenia przedmiotu to:</w:t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uzyskanie oceny pozytywnej (innej niż niedostateczna) test zaliczeniowy,</w:t>
      </w:r>
    </w:p>
    <w:p w:rsidR="00000000" w:rsidDel="00000000" w:rsidP="00000000" w:rsidRDefault="00000000" w:rsidRPr="00000000" w14:paraId="000000B2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uczestnictwo w min. 85% zajęć (dopuszczalne są dwie nieusprawiedliwione nieobecności w semestrze).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zaliczeniowy zostanie oceniony według następującej skali:</w:t>
      </w:r>
    </w:p>
    <w:p w:rsidR="00000000" w:rsidDel="00000000" w:rsidP="00000000" w:rsidRDefault="00000000" w:rsidRPr="00000000" w14:paraId="000000B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B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B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B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B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BB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końcowa jest równa ocenie z testu zaliczeniowego.</w:t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56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58"/>
        <w:gridCol w:w="4606"/>
        <w:tblGridChange w:id="0">
          <w:tblGrid>
            <w:gridCol w:w="4958"/>
            <w:gridCol w:w="460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Venuti, Lawrence, editor.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Translation Studies Reader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2nd ed., Routledge, 2004.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Baker, Mona.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 Other Words: A Coursebook on Translation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2nd ed., Routledge, 2011.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Adamczyk-Garbowska, Monika.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Polskie tłumaczenia angielskiej literatury dziecięcej. Problem krytyki przekładu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Zakład Narodowy im. Ossolińskich, 1988.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Baker, Mona.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Routledge Encyclopedia of Translation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1998.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Bassnett, Susan.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Translation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2nd ed., Methuen, 2000.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Bukowski, Paweł and Magdalena Heydel, editors.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Współczesne teorie przekładu. Antologia.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Znak, 2009.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Eco, Umberto.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Mouse or Rat? Translation as Negotiation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Phoenix, 2004.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Lathey Gillian.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Role of Translators in Children’s Literature. Invisible Storytellers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2010.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Lathey Gillian.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Translating Children’s Literature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2016.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Lewicki, Roman.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Zagadnienia lingwistyki przekładu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Wydawnictwo UMCS, 2019.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Maitland, Sarah.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What Is Cultural Translation?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Bloomsbury, 2017.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Munday, Jeremy, editor.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Routledge Companion to Translation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2009.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Steiner, George.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After Babel: Aspects of Language and Translation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3rd ed., Oxford University Press, 1998.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Toury, Gideon.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Descriptive Translation Studies - and Beyond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 Benjamins, 1995.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Urbanek, Dorota.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Pęknięte lustro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Warszawa, 2004.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Venuti, Lawrence.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Translator's Invisibility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2nd ed., Routledge, 2008.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Venuti, Lawrence.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Scandals of Translation: Towards an Ethics of Difference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Routledge, 1998.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spacing w:after="0"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Helvetica Neue" w:eastAsia="Helvetica Neue" w:hAnsi="Helvetica Neue"/>
      <w:color w:val="000000"/>
      <w:sz w:val="22"/>
      <w:szCs w:val="22"/>
      <w:u w:color="000000"/>
      <w:lang w:val="es-ES_tradnl"/>
    </w:rPr>
  </w:style>
  <w:style w:type="numbering" w:styleId="ImportedStyle10" w:customStyle="1">
    <w:name w:val="Imported Style 1.0"/>
    <w:pPr>
      <w:numPr>
        <w:numId w:val="10"/>
      </w:numPr>
    </w:pPr>
  </w:style>
  <w:style w:type="paragraph" w:styleId="Stopka">
    <w:name w:val="footer"/>
    <w:basedOn w:val="Normalny"/>
    <w:link w:val="StopkaZnak"/>
    <w:uiPriority w:val="99"/>
    <w:unhideWhenUsed w:val="1"/>
    <w:rsid w:val="00D33B0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33B01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F6izOp6jSTzbab3ghaGNiUyWWw==">CgMxLjAyCGguZ2pkZ3hzOAByITE4REwyZzRwWV8yLTEtV0dmVFI3UEphN3U1UU41c000Tw==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2021-09-22T12:49:00Z</dcterms:created>
</cp:coreProperties>
</file>