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KARTA PRZEDMIOTU 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highlight w:val="white"/>
          <w:rtl w:val="0"/>
        </w:rPr>
        <w:t xml:space="preserve">Cykl kształcenia od roku akademickiego: 2024/25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Dane podstawowe</w:t>
      </w:r>
    </w:p>
    <w:tbl>
      <w:tblPr>
        <w:tblStyle w:val="Table1"/>
        <w:tblW w:w="9062.0" w:type="dxa"/>
        <w:jc w:val="left"/>
        <w:tblInd w:w="27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545"/>
        <w:gridCol w:w="4517"/>
        <w:tblGridChange w:id="0">
          <w:tblGrid>
            <w:gridCol w:w="4545"/>
            <w:gridCol w:w="4517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Nazwa przedmiotu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5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Tłumaczenie audiowizualne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6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Nazwa przedmiotu w języku angielskim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Audiovisual Translation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8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Kierunek studiów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9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filologia angielska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Poziom studiów (I, II, jednolite magisterskie)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B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C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Forma studiów (stacjonarne, niestacjonarne)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D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stacjonarne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E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Dyscyplina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F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językoznawstwo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0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Język wykładowy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1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język angielski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62.0" w:type="dxa"/>
        <w:jc w:val="left"/>
        <w:tblInd w:w="27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548"/>
        <w:gridCol w:w="4514"/>
        <w:tblGridChange w:id="0">
          <w:tblGrid>
            <w:gridCol w:w="4548"/>
            <w:gridCol w:w="4514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Koordynator przedmiotu/osoba odpowiedzialna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4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dr Anna Sadowska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widowControl w:val="0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62.0" w:type="dxa"/>
        <w:jc w:val="left"/>
        <w:tblInd w:w="27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285"/>
        <w:gridCol w:w="2258"/>
        <w:gridCol w:w="2261"/>
        <w:gridCol w:w="2258"/>
        <w:tblGridChange w:id="0">
          <w:tblGrid>
            <w:gridCol w:w="2285"/>
            <w:gridCol w:w="2258"/>
            <w:gridCol w:w="2261"/>
            <w:gridCol w:w="2258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Forma zajęć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Liczba godzin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semestr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Punkty 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wykład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E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konwersatorium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2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ćwiczenia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3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4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II, III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6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laboratorium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warsztaty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E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seminarium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2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proseminarium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6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lektorat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praktyki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E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zajęcia terenowe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2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pracownia dyplomowa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6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translatorium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wizyta studyjna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62.0" w:type="dxa"/>
        <w:jc w:val="left"/>
        <w:tblInd w:w="27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216"/>
        <w:gridCol w:w="6846"/>
        <w:tblGridChange w:id="0">
          <w:tblGrid>
            <w:gridCol w:w="2216"/>
            <w:gridCol w:w="6846"/>
          </w:tblGrid>
        </w:tblGridChange>
      </w:tblGrid>
      <w:tr>
        <w:trPr>
          <w:cantSplit w:val="0"/>
          <w:trHeight w:val="25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Wymagania wstępne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W1 Znajomość języka angielskiego przynajmniej na poziomie B2+.</w:t>
            </w:r>
          </w:p>
          <w:p w:rsidR="00000000" w:rsidDel="00000000" w:rsidP="00000000" w:rsidRDefault="00000000" w:rsidRPr="00000000" w14:paraId="00000051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W2 Zainteresowanie kulturą i sztuką, w szczególności relacją między słowem, dźwiękiem a obrazem w tekstach audiowizualnych.</w:t>
            </w:r>
            <w:r w:rsidDel="00000000" w:rsidR="00000000" w:rsidRPr="00000000">
              <w:rPr>
                <w:rFonts w:ascii="Arimo" w:cs="Arimo" w:eastAsia="Arimo" w:hAnsi="Arimo"/>
                <w:highlight w:val="white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W3 Zainteresowanie dostępnością kultury i sztuki dla osób o szczególnych potrzebach (głównie dla osób z dysfunkcją słuchu i wzroku)</w:t>
            </w:r>
            <w:r w:rsidDel="00000000" w:rsidR="00000000" w:rsidRPr="00000000">
              <w:rPr>
                <w:rFonts w:ascii="Arimo" w:cs="Arimo" w:eastAsia="Arimo" w:hAnsi="Arimo"/>
                <w:highlight w:val="white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W4 Umiejętność wykorzystywania wiedzy i doświadczenia z dyscyplin pokrewnych (tłumaczenia pisemne i ustne, kulturoznawstwo, literatura, językoznawstwo).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widowControl w:val="0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Cele kształcenia dla przedmiotu </w:t>
      </w:r>
    </w:p>
    <w:tbl>
      <w:tblPr>
        <w:tblStyle w:val="Table5"/>
        <w:tblW w:w="9062.0" w:type="dxa"/>
        <w:jc w:val="left"/>
        <w:tblInd w:w="27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rHeight w:val="6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C1 Przygotowanie studenta do tworzenia napisów do filmów, napisów dla niesłyszących i słabosłyszących oraz audiodeskrypcji dla niewidomych.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C2 Wprowadzenie studenta w zagadnienia dotyczące tłumaczenia dla dubbingu i wersji lektorskiej oraz lokalizacji gier komputerowych.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6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C3 Przygotowanie studenta do pełnienia różnych funkcji w procesie tłumaczenia filmowego: tłumaczenie tekstu pisanego i tłumaczenie ze słuchu, przygotowywanie transkrypcji, korekta językowa i techniczna, zarządzanie projektem.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Efekty uczenia się dla przedmiotu wraz z odniesieniem do efektów kierunkowych</w:t>
      </w:r>
    </w:p>
    <w:tbl>
      <w:tblPr>
        <w:tblStyle w:val="Table6"/>
        <w:tblW w:w="8732.0" w:type="dxa"/>
        <w:jc w:val="left"/>
        <w:tblInd w:w="27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054"/>
        <w:gridCol w:w="5616"/>
        <w:gridCol w:w="2062"/>
        <w:tblGridChange w:id="0">
          <w:tblGrid>
            <w:gridCol w:w="1054"/>
            <w:gridCol w:w="5616"/>
            <w:gridCol w:w="2062"/>
          </w:tblGrid>
        </w:tblGridChange>
      </w:tblGrid>
      <w:tr>
        <w:trPr>
          <w:cantSplit w:val="0"/>
          <w:trHeight w:val="4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Symbol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Opis efektu przedmiotowego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Odniesienie do efektu kierunkowego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WIEDZA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F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0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definiuje poszczególne typy tłumaczeń audiowizualnych.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  <w:tab w:val="left" w:leader="none" w:pos="1440"/>
              </w:tabs>
              <w:spacing w:after="0"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ST_W01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2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identyfikuje podstawowe techniki tłumaczeniowe stosowane w procesie tworzenia napisów do filmów oraz główne problemy z tym związane w obrębie języka angielskiego i polskiego (np. szyk zdania, dobór czasu gramatycznego, konieczność dokonywania skrótów, ograniczenia ilości znaków i czasu w napisach).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ST_W02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5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charakteryzuje wpływ kontekstu kultury anglosaskiej na tworzenie napisów (np. tłumaczenie slangu, idiomów, form grzecznościowych, nazw organizacji i instytucji państwowych, terminologii związanej z religią).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ST_W03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8732.0" w:type="dxa"/>
        <w:jc w:val="left"/>
        <w:tblInd w:w="27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054"/>
        <w:gridCol w:w="5616"/>
        <w:gridCol w:w="2062"/>
        <w:tblGridChange w:id="0">
          <w:tblGrid>
            <w:gridCol w:w="1054"/>
            <w:gridCol w:w="5616"/>
            <w:gridCol w:w="2062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UMIEJĘTNOŚCI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C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D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dobiera właściwe typy przekładu audiowizualnego do potrzeb widzów (np. napisy dla niesłyszących, audiodeskrypcja dla niewidomych, napisy dla widowni dziecięcej).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  <w:tab w:val="left" w:leader="none" w:pos="1440"/>
              </w:tabs>
              <w:spacing w:after="0"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ST_U01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F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0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wybiera właściwą strategię tłumaczeniową i rozwiązania techniczne dostosowane do typu tekstu audiowizualnego.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ST_U02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2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3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porozumiewa się z uczestnikami projektów tłumaczeniowych wykorzystując różne metody komunikacji.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ST_U03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KOMPETENCJE SPOŁECZNE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8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9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poddaje krytycznej ocenie prace tłumaczeniowe swoje i innych studentów biorąc pod uwagę ich wartość merytoryczną i stylistyczną.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  <w:tab w:val="left" w:leader="none" w:pos="1440"/>
              </w:tabs>
              <w:spacing w:after="0"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ST_K01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B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dąży do pogłębiania wiedzy na temat poszczególnych typów tłumaczeń oraz poszerzania kompetencji językowych podczas wykonywania powierzonych zadań tłumaczeniowych.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ST_K02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E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podejmuje się różnych obowiązków podczas pracy w zespole nad projektem tłumaczeniowym (np. jako tłumacz, edytor czy kierownik projektu).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ST_K03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Opis przedmiotu/ treści programowe</w:t>
      </w:r>
    </w:p>
    <w:tbl>
      <w:tblPr>
        <w:tblStyle w:val="Table8"/>
        <w:tblW w:w="8890.0" w:type="dxa"/>
        <w:jc w:val="left"/>
        <w:tblInd w:w="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90"/>
        <w:tblGridChange w:id="0">
          <w:tblGrid>
            <w:gridCol w:w="889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3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Semestr I </w:t>
            </w:r>
          </w:p>
          <w:p w:rsidR="00000000" w:rsidDel="00000000" w:rsidP="00000000" w:rsidRDefault="00000000" w:rsidRPr="00000000" w14:paraId="00000084">
            <w:pPr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Wprowadzenie w problematykę zajęć: czym jest tłumaczenie audiowizualne i rodzaje tłumaczeń audiowizualnych.  </w:t>
            </w:r>
          </w:p>
          <w:p w:rsidR="00000000" w:rsidDel="00000000" w:rsidP="00000000" w:rsidRDefault="00000000" w:rsidRPr="00000000" w14:paraId="00000085">
            <w:pPr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Historia kina i napisów do filmów.</w:t>
            </w:r>
          </w:p>
          <w:p w:rsidR="00000000" w:rsidDel="00000000" w:rsidP="00000000" w:rsidRDefault="00000000" w:rsidRPr="00000000" w14:paraId="00000086">
            <w:pPr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Standardy tworzenia napisów do filmów. Tłumaczenie dialogów filmowych wraz z analizą treści wizualnych filmu.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numPr>
                <w:ilvl w:val="0"/>
                <w:numId w:val="16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Zapoznanie z programem do tworzenia napisów – ćwiczenia wstępne z robienia napisów.</w:t>
            </w:r>
          </w:p>
          <w:p w:rsidR="00000000" w:rsidDel="00000000" w:rsidP="00000000" w:rsidRDefault="00000000" w:rsidRPr="00000000" w14:paraId="00000088">
            <w:pPr>
              <w:numPr>
                <w:ilvl w:val="0"/>
                <w:numId w:val="16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Tworzenie napisów do filmów - 3 lekcje.</w:t>
            </w:r>
          </w:p>
          <w:p w:rsidR="00000000" w:rsidDel="00000000" w:rsidP="00000000" w:rsidRDefault="00000000" w:rsidRPr="00000000" w14:paraId="00000089">
            <w:pPr>
              <w:numPr>
                <w:ilvl w:val="0"/>
                <w:numId w:val="16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Analiza prac studentów - 3 lekcje. </w:t>
            </w:r>
          </w:p>
          <w:p w:rsidR="00000000" w:rsidDel="00000000" w:rsidP="00000000" w:rsidRDefault="00000000" w:rsidRPr="00000000" w14:paraId="0000008A">
            <w:pPr>
              <w:numPr>
                <w:ilvl w:val="0"/>
                <w:numId w:val="16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Tworzenie napisów do filmów. </w:t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16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Analiza prac studentów. </w:t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16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Projekt zaliczeniowy. </w:t>
            </w:r>
          </w:p>
          <w:p w:rsidR="00000000" w:rsidDel="00000000" w:rsidP="00000000" w:rsidRDefault="00000000" w:rsidRPr="00000000" w14:paraId="0000008D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Semestr II</w:t>
            </w:r>
          </w:p>
          <w:p w:rsidR="00000000" w:rsidDel="00000000" w:rsidP="00000000" w:rsidRDefault="00000000" w:rsidRPr="00000000" w14:paraId="0000008E">
            <w:pPr>
              <w:numPr>
                <w:ilvl w:val="0"/>
                <w:numId w:val="7"/>
              </w:numPr>
              <w:ind w:left="550" w:hanging="36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Wprowadzenie do tworzenia napisów dla niesłyszących.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numPr>
                <w:ilvl w:val="0"/>
                <w:numId w:val="7"/>
              </w:numPr>
              <w:ind w:left="550" w:hanging="36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Tworzenie napisów dla niesłyszących i analiza prac studentów. ( 4 - 5 spotkań spotkań)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7"/>
              </w:numPr>
              <w:ind w:left="550" w:hanging="36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Audiodeskrypcja – wprowadzenie do AD ogólnej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numPr>
                <w:ilvl w:val="0"/>
                <w:numId w:val="7"/>
              </w:numPr>
              <w:ind w:left="550" w:hanging="36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Zasady tworzenia audiodeskrypcji do filmu.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7"/>
              </w:numPr>
              <w:ind w:left="550" w:hanging="36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Ćwiczenia w tworzeniu audiodeskrypcji do filmu.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7"/>
              </w:numPr>
              <w:ind w:left="550" w:hanging="36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Zasady tworzenia audiodeskrypcji do dzieł sztuki.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7"/>
              </w:numPr>
              <w:ind w:left="550" w:hanging="36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Ćwiczenia w tworzeniu audiodeskrypcji do dzieł sztuki.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numPr>
                <w:ilvl w:val="0"/>
                <w:numId w:val="7"/>
              </w:numPr>
              <w:ind w:left="550" w:hanging="36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Tłumaczenie do wersji lektorskiej.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numPr>
                <w:ilvl w:val="0"/>
                <w:numId w:val="7"/>
              </w:numPr>
              <w:ind w:left="550" w:hanging="36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Tłumaczenie do dubbingu i lokalizacja gier wideo.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numPr>
                <w:ilvl w:val="0"/>
                <w:numId w:val="7"/>
              </w:numPr>
              <w:ind w:left="550" w:hanging="36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Analiza prac studentów.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Metody realizacji i weryfikacji efektów uczenia się </w:t>
      </w:r>
    </w:p>
    <w:tbl>
      <w:tblPr>
        <w:tblStyle w:val="Table9"/>
        <w:tblW w:w="8948.0" w:type="dxa"/>
        <w:jc w:val="left"/>
        <w:tblInd w:w="27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080"/>
        <w:gridCol w:w="2612"/>
        <w:gridCol w:w="2743"/>
        <w:gridCol w:w="2513"/>
        <w:tblGridChange w:id="0">
          <w:tblGrid>
            <w:gridCol w:w="1080"/>
            <w:gridCol w:w="2612"/>
            <w:gridCol w:w="2743"/>
            <w:gridCol w:w="2513"/>
          </w:tblGrid>
        </w:tblGridChange>
      </w:tblGrid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Symbol efektu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Metody dydaktyczne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Metody weryfikacji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Sposoby dokumentacji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WIEDZA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2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wykład/prezentacja multimedialna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kolokwium/test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sprawdzone i ocenione kolokwium/test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6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praca pod kierunkiem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wykonanie projektu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oceniony projekt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praca pod kierunkiem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wykonanie projektu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D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oceniony projekt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UMIEJĘTNOŚCI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2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projekt tłumaczeniowy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wykonanie projektu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oceniony projekt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6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projekt tłumaczeniowy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wykonanie projektu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oceniony projekt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projekt tłumaczeniowy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obserwacja/rozmowa z uczestnikami projektu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zapis w arkuszu ocen (uwagi, ocena lub +/-)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KOMPETENCJE SPOŁECZNE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2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dyskusja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obserwacja/rozmowa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5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zapis w arkuszu ocen (uwagi, ocena lub +/-)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6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dyskusja/ projekt tłumaczeniowy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obserwacja/rozmowa z uczestnikami projektu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zapis w arkuszu ocen (uwagi, ocena lub +/-)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B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praca w zespole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obserwacja/rozmowa z uczestnikami projektu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zapis w arkuszu ocen (uwagi, ocena lub +/-)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E">
      <w:pPr>
        <w:widowControl w:val="0"/>
        <w:pBdr>
          <w:top w:space="0" w:sz="0" w:val="nil"/>
        </w:pBd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Kryteria oceny, wagi…</w:t>
      </w:r>
    </w:p>
    <w:p w:rsidR="00000000" w:rsidDel="00000000" w:rsidP="00000000" w:rsidRDefault="00000000" w:rsidRPr="00000000" w14:paraId="000000D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Każdy semestr kursu kończy się zaliczeniem. Warunki konieczne do uzyskania zaliczenia:</w:t>
      </w:r>
    </w:p>
    <w:tbl>
      <w:tblPr>
        <w:tblStyle w:val="Table10"/>
        <w:tblW w:w="9067.0" w:type="dxa"/>
        <w:jc w:val="left"/>
        <w:tblInd w:w="-5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358"/>
        <w:gridCol w:w="4709"/>
        <w:tblGridChange w:id="0">
          <w:tblGrid>
            <w:gridCol w:w="4358"/>
            <w:gridCol w:w="4709"/>
          </w:tblGrid>
        </w:tblGridChange>
      </w:tblGrid>
      <w:tr>
        <w:trPr>
          <w:cantSplit w:val="0"/>
          <w:trHeight w:val="24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1">
            <w:pPr>
              <w:spacing w:after="100" w:before="10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I. Uczestnictwo w zajęciach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3">
            <w:pPr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Dozwolone są dwie nieusprawiedliwione nieobecności. Usprawiedliwiona nieobecność = poświadczona zwolnieniem lekarskim. 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5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Aby starać się o zaliczenie należy uczestniczyć w przynajmniej 9 zajęciach                                          (co stanowi 60% wszystkich obecności). 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7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Przedłużającą się usprawiedliwioną nieobecność należy zgłosić prowadzącemu.  </w:t>
            </w:r>
          </w:p>
        </w:tc>
      </w:tr>
      <w:tr>
        <w:trPr>
          <w:cantSplit w:val="0"/>
          <w:trHeight w:val="58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9">
            <w:pPr>
              <w:spacing w:after="100" w:before="10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II. Oceny</w:t>
            </w:r>
          </w:p>
          <w:p w:rsidR="00000000" w:rsidDel="00000000" w:rsidP="00000000" w:rsidRDefault="00000000" w:rsidRPr="00000000" w14:paraId="000000DA">
            <w:pPr>
              <w:spacing w:after="100" w:before="10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Przynajmniej 60% uzyskanych wyników ocen z całego semestru, na które składają się: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C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720" w:hanging="36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Testy z wiedzy teoretycznej (40% oceny):</w:t>
            </w:r>
          </w:p>
        </w:tc>
      </w:tr>
      <w:tr>
        <w:trPr>
          <w:cantSplit w:val="0"/>
          <w:trHeight w:val="18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E">
            <w:pPr>
              <w:spacing w:after="100" w:before="100"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Semestr I</w:t>
            </w:r>
          </w:p>
          <w:p w:rsidR="00000000" w:rsidDel="00000000" w:rsidP="00000000" w:rsidRDefault="00000000" w:rsidRPr="00000000" w14:paraId="000000DF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720" w:hanging="3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Tłumaczenia audiowizualne i historia kina i napisów do filmu. (20%)</w:t>
            </w:r>
          </w:p>
          <w:p w:rsidR="00000000" w:rsidDel="00000000" w:rsidP="00000000" w:rsidRDefault="00000000" w:rsidRPr="00000000" w14:paraId="000000E0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720" w:hanging="3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Zasady tworzenia napisów do filmów. (20%)</w:t>
            </w:r>
          </w:p>
          <w:p w:rsidR="00000000" w:rsidDel="00000000" w:rsidP="00000000" w:rsidRDefault="00000000" w:rsidRPr="00000000" w14:paraId="000000E1">
            <w:pPr>
              <w:spacing w:after="100" w:before="10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2">
            <w:pPr>
              <w:spacing w:after="100" w:before="100"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Semestr II</w:t>
            </w:r>
          </w:p>
          <w:p w:rsidR="00000000" w:rsidDel="00000000" w:rsidP="00000000" w:rsidRDefault="00000000" w:rsidRPr="00000000" w14:paraId="000000E3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720" w:hanging="3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Zasady tworzenia napisów dla niesłyszących. (20%)</w:t>
            </w:r>
          </w:p>
          <w:p w:rsidR="00000000" w:rsidDel="00000000" w:rsidP="00000000" w:rsidRDefault="00000000" w:rsidRPr="00000000" w14:paraId="000000E4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720" w:hanging="3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Historia i rozwój audiodeskrypcji oraz zasady tworzenia audiodeskrypcji do filmu i innych dzieł sztuki audiowizualnej. (20%)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5">
            <w:pPr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ind w:left="720" w:hanging="36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Projekt tłumaczeniowy na zaliczenie semestru (60% oceny):</w:t>
            </w:r>
          </w:p>
        </w:tc>
      </w:tr>
      <w:tr>
        <w:trPr>
          <w:cantSplit w:val="0"/>
          <w:trHeight w:val="5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7">
            <w:pPr>
              <w:spacing w:after="100" w:before="100"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Semestr I  </w:t>
            </w:r>
          </w:p>
          <w:p w:rsidR="00000000" w:rsidDel="00000000" w:rsidP="00000000" w:rsidRDefault="00000000" w:rsidRPr="00000000" w14:paraId="000000E8">
            <w:pPr>
              <w:spacing w:after="100" w:before="10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Napisy do filmu.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9">
            <w:pPr>
              <w:spacing w:after="100" w:before="100"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Semestr II </w:t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Napisy dla niesłyszących (30%)</w:t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heading=h.1fob9te" w:id="1"/>
            <w:bookmarkEnd w:id="1"/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Audiodeskrypcja do filmu lub innej sztuki wizualnej. (30%)</w:t>
            </w:r>
          </w:p>
        </w:tc>
      </w:tr>
    </w:tbl>
    <w:p w:rsidR="00000000" w:rsidDel="00000000" w:rsidP="00000000" w:rsidRDefault="00000000" w:rsidRPr="00000000" w14:paraId="000000EC">
      <w:pPr>
        <w:spacing w:after="100" w:before="100" w:line="240" w:lineRule="auto"/>
        <w:rPr>
          <w:rFonts w:ascii="Times" w:cs="Times" w:eastAsia="Times" w:hAnsi="Times"/>
          <w:color w:val="333333"/>
        </w:rPr>
      </w:pPr>
      <w:r w:rsidDel="00000000" w:rsidR="00000000" w:rsidRPr="00000000">
        <w:rPr>
          <w:rFonts w:ascii="Times" w:cs="Times" w:eastAsia="Times" w:hAnsi="Times"/>
          <w:color w:val="333333"/>
          <w:rtl w:val="0"/>
        </w:rPr>
        <w:t xml:space="preserve">Uwaga: Pewne zmiany mogą zostać wprowadzone w trakcie trwania kursu.</w:t>
      </w:r>
    </w:p>
    <w:p w:rsidR="00000000" w:rsidDel="00000000" w:rsidP="00000000" w:rsidRDefault="00000000" w:rsidRPr="00000000" w14:paraId="000000ED">
      <w:pPr>
        <w:spacing w:after="100" w:before="100" w:line="240" w:lineRule="auto"/>
        <w:rPr>
          <w:rFonts w:ascii="Times New Roman" w:cs="Times New Roman" w:eastAsia="Times New Roman" w:hAnsi="Times New Roman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100" w:before="100" w:line="240" w:lineRule="auto"/>
        <w:rPr>
          <w:rFonts w:ascii="Times" w:cs="Times" w:eastAsia="Times" w:hAnsi="Times"/>
          <w:b w:val="1"/>
          <w:color w:val="333333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Jeśli student zgłosi do oceny podpisaną przez siebie pracę, która została w istotnym stopniu stworzona przez kogoś innego (np. studenta) lub coś innego (np. translator internetowy), skutkuje to otrzymaniem za tę pracę oceny niedostatecznej bez możliwości poprawy</w:t>
      </w:r>
      <w:r w:rsidDel="00000000" w:rsidR="00000000" w:rsidRPr="00000000">
        <w:rPr>
          <w:b w:val="1"/>
          <w:i w:val="1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100" w:before="100" w:line="240" w:lineRule="auto"/>
        <w:rPr>
          <w:rFonts w:ascii="Times" w:cs="Times" w:eastAsia="Times" w:hAnsi="Times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100" w:before="100" w:line="240" w:lineRule="auto"/>
        <w:rPr>
          <w:rFonts w:ascii="Times" w:cs="Times" w:eastAsia="Times" w:hAnsi="Times"/>
          <w:color w:val="333333"/>
        </w:rPr>
      </w:pPr>
      <w:r w:rsidDel="00000000" w:rsidR="00000000" w:rsidRPr="00000000">
        <w:rPr>
          <w:rFonts w:ascii="Times" w:cs="Times" w:eastAsia="Times" w:hAnsi="Times"/>
          <w:color w:val="333333"/>
          <w:rtl w:val="0"/>
        </w:rPr>
        <w:t xml:space="preserve">Skala stosowanych ocen:</w:t>
      </w:r>
    </w:p>
    <w:p w:rsidR="00000000" w:rsidDel="00000000" w:rsidP="00000000" w:rsidRDefault="00000000" w:rsidRPr="00000000" w14:paraId="000000F1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40" w:lineRule="auto"/>
        <w:ind w:left="720" w:hanging="360"/>
        <w:rPr>
          <w:rFonts w:ascii="Times" w:cs="Times" w:eastAsia="Times" w:hAnsi="Times"/>
          <w:color w:val="333333"/>
        </w:rPr>
      </w:pPr>
      <w:r w:rsidDel="00000000" w:rsidR="00000000" w:rsidRPr="00000000">
        <w:rPr>
          <w:rFonts w:ascii="Times" w:cs="Times" w:eastAsia="Times" w:hAnsi="Times"/>
          <w:b w:val="1"/>
          <w:color w:val="333333"/>
          <w:rtl w:val="0"/>
        </w:rPr>
        <w:t xml:space="preserve">60% - 68% - 3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40" w:lineRule="auto"/>
        <w:ind w:left="720" w:hanging="360"/>
        <w:rPr>
          <w:rFonts w:ascii="Times" w:cs="Times" w:eastAsia="Times" w:hAnsi="Times"/>
          <w:color w:val="333333"/>
        </w:rPr>
      </w:pPr>
      <w:r w:rsidDel="00000000" w:rsidR="00000000" w:rsidRPr="00000000">
        <w:rPr>
          <w:rFonts w:ascii="Times" w:cs="Times" w:eastAsia="Times" w:hAnsi="Times"/>
          <w:b w:val="1"/>
          <w:color w:val="333333"/>
          <w:rtl w:val="0"/>
        </w:rPr>
        <w:t xml:space="preserve">69% - 76 % - 3,5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40" w:lineRule="auto"/>
        <w:ind w:left="720" w:hanging="360"/>
        <w:rPr>
          <w:rFonts w:ascii="Times" w:cs="Times" w:eastAsia="Times" w:hAnsi="Times"/>
          <w:color w:val="333333"/>
        </w:rPr>
      </w:pPr>
      <w:r w:rsidDel="00000000" w:rsidR="00000000" w:rsidRPr="00000000">
        <w:rPr>
          <w:rFonts w:ascii="Times" w:cs="Times" w:eastAsia="Times" w:hAnsi="Times"/>
          <w:b w:val="1"/>
          <w:color w:val="333333"/>
          <w:rtl w:val="0"/>
        </w:rPr>
        <w:t xml:space="preserve">77% - 84% - 4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40" w:lineRule="auto"/>
        <w:ind w:left="720" w:hanging="360"/>
        <w:rPr>
          <w:rFonts w:ascii="Times" w:cs="Times" w:eastAsia="Times" w:hAnsi="Times"/>
          <w:color w:val="333333"/>
        </w:rPr>
      </w:pPr>
      <w:r w:rsidDel="00000000" w:rsidR="00000000" w:rsidRPr="00000000">
        <w:rPr>
          <w:rFonts w:ascii="Times" w:cs="Times" w:eastAsia="Times" w:hAnsi="Times"/>
          <w:b w:val="1"/>
          <w:color w:val="333333"/>
          <w:rtl w:val="0"/>
        </w:rPr>
        <w:t xml:space="preserve">85% - 92% - 4,5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40" w:lineRule="auto"/>
        <w:ind w:left="720" w:hanging="360"/>
        <w:rPr>
          <w:rFonts w:ascii="Times" w:cs="Times" w:eastAsia="Times" w:hAnsi="Times"/>
          <w:color w:val="333333"/>
        </w:rPr>
      </w:pPr>
      <w:r w:rsidDel="00000000" w:rsidR="00000000" w:rsidRPr="00000000">
        <w:rPr>
          <w:rFonts w:ascii="Times" w:cs="Times" w:eastAsia="Times" w:hAnsi="Times"/>
          <w:b w:val="1"/>
          <w:color w:val="333333"/>
          <w:rtl w:val="0"/>
        </w:rPr>
        <w:t xml:space="preserve">93% - 100% - 5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100" w:before="10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Obciążenie pracą studenta</w:t>
      </w:r>
    </w:p>
    <w:tbl>
      <w:tblPr>
        <w:tblStyle w:val="Table11"/>
        <w:tblW w:w="9062.0" w:type="dxa"/>
        <w:jc w:val="left"/>
        <w:tblInd w:w="27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538"/>
        <w:gridCol w:w="4524"/>
        <w:tblGridChange w:id="0">
          <w:tblGrid>
            <w:gridCol w:w="4538"/>
            <w:gridCol w:w="4524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8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Forma aktywności studenta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9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Liczba godzin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Liczba godzin kontaktowych z nauczycielem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B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C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Liczba godzin indywidualnej pracy studenta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D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E">
      <w:pPr>
        <w:spacing w:after="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Literatura</w:t>
      </w:r>
    </w:p>
    <w:tbl>
      <w:tblPr>
        <w:tblStyle w:val="Table12"/>
        <w:tblW w:w="9062.0" w:type="dxa"/>
        <w:jc w:val="left"/>
        <w:tblInd w:w="27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0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Literatura podstawowa: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1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37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Adamowicz-Grzyb, Grażyna. (2010).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Jak redagować napisy do filmów. ABC tłumacza filmowego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 Warszawa: Fortima. </w:t>
            </w:r>
          </w:p>
          <w:p w:rsidR="00000000" w:rsidDel="00000000" w:rsidP="00000000" w:rsidRDefault="00000000" w:rsidRPr="00000000" w14:paraId="00000102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37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Adamowicz-Grzyb, Grażyna. (2013).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Tłumaczenia filmowe w praktyce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 Warszawa: Fortima. </w:t>
            </w:r>
          </w:p>
          <w:p w:rsidR="00000000" w:rsidDel="00000000" w:rsidP="00000000" w:rsidRDefault="00000000" w:rsidRPr="00000000" w14:paraId="00000103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37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Belczyk, Arkadiusz. (2007).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Tłumaczenie filmów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 Wilkowice: Wydawnictwo “Dla szkoły”.</w:t>
            </w:r>
          </w:p>
          <w:p w:rsidR="00000000" w:rsidDel="00000000" w:rsidP="00000000" w:rsidRDefault="00000000" w:rsidRPr="00000000" w14:paraId="00000104">
            <w:pPr>
              <w:numPr>
                <w:ilvl w:val="0"/>
                <w:numId w:val="5"/>
              </w:numPr>
              <w:ind w:left="437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Chmiel, Agnieszka &amp; Iwona Mazur (2014).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Audiodeskrypcja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 Poznań: Wydział Anglistyki UAM.</w:t>
            </w:r>
          </w:p>
          <w:p w:rsidR="00000000" w:rsidDel="00000000" w:rsidP="00000000" w:rsidRDefault="00000000" w:rsidRPr="00000000" w14:paraId="00000105">
            <w:pPr>
              <w:numPr>
                <w:ilvl w:val="0"/>
                <w:numId w:val="5"/>
              </w:numPr>
              <w:ind w:left="437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Diaz Cintas, Jorge, Pilar Orero and Aline Remael (eds.). (2007).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Media for all. Subtitling for the Deaf, Audio Description and Sign Language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 Amsterdam-New York. </w:t>
            </w:r>
          </w:p>
          <w:p w:rsidR="00000000" w:rsidDel="00000000" w:rsidP="00000000" w:rsidRDefault="00000000" w:rsidRPr="00000000" w14:paraId="00000106">
            <w:pPr>
              <w:numPr>
                <w:ilvl w:val="0"/>
                <w:numId w:val="5"/>
              </w:numPr>
              <w:ind w:left="437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Tomaszkiewicz, Teresa. (2019).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Przekład audiowizualny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 Warszawa: Wydawnictwo Naukowe PWN. </w:t>
            </w:r>
          </w:p>
          <w:p w:rsidR="00000000" w:rsidDel="00000000" w:rsidP="00000000" w:rsidRDefault="00000000" w:rsidRPr="00000000" w14:paraId="0000010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Źródła internetowe:</w:t>
            </w:r>
          </w:p>
          <w:p w:rsidR="00000000" w:rsidDel="00000000" w:rsidP="00000000" w:rsidRDefault="00000000" w:rsidRPr="00000000" w14:paraId="00000108">
            <w:pPr>
              <w:numPr>
                <w:ilvl w:val="0"/>
                <w:numId w:val="6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Best Practices for Game Localization (2011). </w:t>
            </w:r>
            <w:hyperlink r:id="rId7">
              <w:r w:rsidDel="00000000" w:rsidR="00000000" w:rsidRPr="00000000">
                <w:rPr>
                  <w:rFonts w:ascii="Times New Roman" w:cs="Times New Roman" w:eastAsia="Times New Roman" w:hAnsi="Times New Roman"/>
                  <w:u w:val="single"/>
                  <w:rtl w:val="0"/>
                </w:rPr>
                <w:t xml:space="preserve">http://englobe.com/wp-content/uploads/2012/05/Best-Practices-for-Game-Localization-v21.pdf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numPr>
                <w:ilvl w:val="0"/>
                <w:numId w:val="6"/>
              </w:numPr>
              <w:ind w:left="720" w:hanging="360"/>
              <w:rPr>
                <w:rFonts w:ascii="Times New Roman" w:cs="Times New Roman" w:eastAsia="Times New Roman" w:hAnsi="Times New Roman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Fundacja Kultury Bez Barier. (2012). „Napisy dla osób niesłyszących i słabosłyszących”. </w:t>
            </w:r>
            <w:hyperlink r:id="rId8">
              <w:r w:rsidDel="00000000" w:rsidR="00000000" w:rsidRPr="00000000">
                <w:rPr>
                  <w:rFonts w:ascii="Times New Roman" w:cs="Times New Roman" w:eastAsia="Times New Roman" w:hAnsi="Times New Roman"/>
                  <w:u w:val="single"/>
                  <w:rtl w:val="0"/>
                </w:rPr>
                <w:t xml:space="preserve">https://dzieciom.pl/wp-content/uploads/2012/09/Napisy-dla-nieslyszacych-zasady-tworzenia.pdf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numPr>
                <w:ilvl w:val="0"/>
                <w:numId w:val="6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Game Localization: </w:t>
            </w:r>
            <w:hyperlink r:id="rId9">
              <w:r w:rsidDel="00000000" w:rsidR="00000000" w:rsidRPr="00000000">
                <w:rPr>
                  <w:rFonts w:ascii="Times New Roman" w:cs="Times New Roman" w:eastAsia="Times New Roman" w:hAnsi="Times New Roman"/>
                  <w:u w:val="single"/>
                  <w:rtl w:val="0"/>
                </w:rPr>
                <w:t xml:space="preserve">https://www.tomedes.com/translator-hub/game-localization-guide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10B">
            <w:pPr>
              <w:numPr>
                <w:ilvl w:val="0"/>
                <w:numId w:val="6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ITC (Independent Television Commission). (2000).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ITC Guidance on Standards for Audio Description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 </w:t>
            </w:r>
            <w:hyperlink r:id="rId10">
              <w:r w:rsidDel="00000000" w:rsidR="00000000" w:rsidRPr="00000000">
                <w:rPr>
                  <w:rFonts w:ascii="Times New Roman" w:cs="Times New Roman" w:eastAsia="Times New Roman" w:hAnsi="Times New Roman"/>
                  <w:u w:val="single"/>
                  <w:rtl w:val="0"/>
                </w:rPr>
                <w:t xml:space="preserve">http://msradio.huji.ac.il/narration.doc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numPr>
                <w:ilvl w:val="0"/>
                <w:numId w:val="6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Künstler, I., Butkiewicz, U., &amp; Więckowski, R. (2012).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Audiodeskrypcja - zasady tworzenia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 Fundacja Kultury bez Barier. </w:t>
            </w:r>
            <w:hyperlink r:id="rId11">
              <w:r w:rsidDel="00000000" w:rsidR="00000000" w:rsidRPr="00000000">
                <w:rPr>
                  <w:rFonts w:ascii="Times New Roman" w:cs="Times New Roman" w:eastAsia="Times New Roman" w:hAnsi="Times New Roman"/>
                  <w:u w:val="single"/>
                  <w:rtl w:val="0"/>
                </w:rPr>
                <w:t xml:space="preserve">http://nimoz.pl/upload/szkolenia/Audiodeskrypcja_-_zasady_tworzenia.pdf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numPr>
                <w:ilvl w:val="0"/>
                <w:numId w:val="6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Locland-Gaming-Localization (PPP). </w:t>
            </w:r>
            <w:hyperlink r:id="rId12">
              <w:r w:rsidDel="00000000" w:rsidR="00000000" w:rsidRPr="00000000">
                <w:rPr>
                  <w:rFonts w:ascii="Times New Roman" w:cs="Times New Roman" w:eastAsia="Times New Roman" w:hAnsi="Times New Roman"/>
                  <w:u w:val="single"/>
                  <w:rtl w:val="0"/>
                </w:rPr>
                <w:t xml:space="preserve">https://www.memoq.com/Kilgray/media/Download/LocLand-Gaming-Localization.pdf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E">
            <w:pPr>
              <w:numPr>
                <w:ilvl w:val="0"/>
                <w:numId w:val="6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Matamala, A., &amp; Orero, P. (2015). Text on screen. In A. Reamel, N. Reviers, &amp; G. Vercauteren (Eds.),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Pictures painted in words: ADLAB Audio description guidelines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(Vol. 2017, pp. 39-42). Trieste: EUT Edizioni Universita di Trieste. </w:t>
            </w:r>
            <w:hyperlink r:id="rId13">
              <w:r w:rsidDel="00000000" w:rsidR="00000000" w:rsidRPr="00000000">
                <w:rPr>
                  <w:rFonts w:ascii="Times New Roman" w:cs="Times New Roman" w:eastAsia="Times New Roman" w:hAnsi="Times New Roman"/>
                  <w:u w:val="single"/>
                  <w:rtl w:val="0"/>
                </w:rPr>
                <w:t xml:space="preserve">http://www.adlabproject.eu/Docs/adlab%20book/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F">
            <w:pPr>
              <w:numPr>
                <w:ilvl w:val="0"/>
                <w:numId w:val="6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The Beginner’s Guide to Game Localization (2021).  </w:t>
            </w:r>
            <w:hyperlink r:id="rId14">
              <w:r w:rsidDel="00000000" w:rsidR="00000000" w:rsidRPr="00000000">
                <w:rPr>
                  <w:rFonts w:ascii="Times New Roman" w:cs="Times New Roman" w:eastAsia="Times New Roman" w:hAnsi="Times New Roman"/>
                  <w:u w:val="single"/>
                  <w:rtl w:val="0"/>
                </w:rPr>
                <w:t xml:space="preserve">https://summalinguae.com/localization/video-game-localization-guide/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37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Szymańska, B., &amp; Strzymiński, T. (2010).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Audiodeskrypcja. Obraz słowem malowany. Standardy tworzenia audiodeskrypcji do produkcji audiowizualnych.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Fundacja Audiodeskrypcja. </w:t>
            </w:r>
            <w:hyperlink r:id="rId15">
              <w:r w:rsidDel="00000000" w:rsidR="00000000" w:rsidRPr="00000000">
                <w:rPr>
                  <w:rFonts w:ascii="Times New Roman" w:cs="Times New Roman" w:eastAsia="Times New Roman" w:hAnsi="Times New Roman"/>
                  <w:u w:val="single"/>
                  <w:rtl w:val="0"/>
                </w:rPr>
                <w:t xml:space="preserve">http://avt.ils.uw.edu.pl/files/2010/12/AD-_standardy_tworzenia.pdf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1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Literatura uzupełniająca: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8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2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37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Baker, Mona. (1992).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 In Other Words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 London- New York: Routledge. </w:t>
            </w:r>
          </w:p>
          <w:p w:rsidR="00000000" w:rsidDel="00000000" w:rsidP="00000000" w:rsidRDefault="00000000" w:rsidRPr="00000000" w14:paraId="00000113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37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Garcarz, Michał. (2007).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Przekład slangu w filmie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 Kraków: Tertium.</w:t>
            </w:r>
          </w:p>
          <w:p w:rsidR="00000000" w:rsidDel="00000000" w:rsidP="00000000" w:rsidRDefault="00000000" w:rsidRPr="00000000" w14:paraId="00000114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37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Korzeniowska, Aniela and Piotr Kuhiwczak.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Successful Polish-English Translation: Tricks of the Trade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 Warsaw, 2005. </w:t>
            </w:r>
          </w:p>
          <w:p w:rsidR="00000000" w:rsidDel="00000000" w:rsidP="00000000" w:rsidRDefault="00000000" w:rsidRPr="00000000" w14:paraId="00000115">
            <w:pPr>
              <w:numPr>
                <w:ilvl w:val="0"/>
                <w:numId w:val="3"/>
              </w:numPr>
              <w:ind w:left="437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Maszerowska Anna, Matamala Anna &amp; Pilar Orero.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Audio Description. New Perspectives Illustrated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 Amsterdam, Philadelphia: Benjamins.</w:t>
            </w:r>
          </w:p>
          <w:p w:rsidR="00000000" w:rsidDel="00000000" w:rsidP="00000000" w:rsidRDefault="00000000" w:rsidRPr="00000000" w14:paraId="00000116">
            <w:pPr>
              <w:numPr>
                <w:ilvl w:val="0"/>
                <w:numId w:val="3"/>
              </w:numPr>
              <w:ind w:left="437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Matamala, Anna &amp; Orero, Pilar (eds.) (2016).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Researching Audio Description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 London: Palgrave Macmillan.</w:t>
            </w:r>
          </w:p>
          <w:p w:rsidR="00000000" w:rsidDel="00000000" w:rsidP="00000000" w:rsidRDefault="00000000" w:rsidRPr="00000000" w14:paraId="00000117">
            <w:pPr>
              <w:numPr>
                <w:ilvl w:val="0"/>
                <w:numId w:val="3"/>
              </w:numPr>
              <w:ind w:left="437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Newmark, Peter. (2006).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A Textbook of Translation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 Malaysia:  Harlow Longman.</w:t>
            </w:r>
          </w:p>
          <w:p w:rsidR="00000000" w:rsidDel="00000000" w:rsidP="00000000" w:rsidRDefault="00000000" w:rsidRPr="00000000" w14:paraId="00000118">
            <w:pPr>
              <w:numPr>
                <w:ilvl w:val="0"/>
                <w:numId w:val="3"/>
              </w:numPr>
              <w:ind w:left="437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Rybka, Małgorzata, Wrześniewska-Pietrzak, Marta &amp; Beata Jerzakowska-Kibenko (eds.) (2020).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Audiodeskrypcja i jej pogranicza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  Poznań: Wydawnictwo Poznańskiego Towarzystwa Przyjaciół Nauk. </w:t>
            </w:r>
          </w:p>
        </w:tc>
      </w:tr>
      <w:tr>
        <w:trPr>
          <w:cantSplit w:val="0"/>
          <w:trHeight w:val="316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A">
      <w:pPr>
        <w:widowControl w:val="0"/>
        <w:spacing w:line="240" w:lineRule="auto"/>
        <w:ind w:left="360" w:firstLine="0"/>
        <w:rPr/>
      </w:pPr>
      <w:bookmarkStart w:colFirst="0" w:colLast="0" w:name="_heading=h.30j0zll" w:id="2"/>
      <w:bookmarkEnd w:id="2"/>
      <w:r w:rsidDel="00000000" w:rsidR="00000000" w:rsidRPr="00000000">
        <w:rPr>
          <w:rtl w:val="0"/>
        </w:rPr>
      </w:r>
    </w:p>
    <w:sectPr>
      <w:pgSz w:h="16840" w:w="11900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8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9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9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90"/>
      </w:pPr>
      <w:rPr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37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157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77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97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317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037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757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77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97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7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37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157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77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97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317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037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757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77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97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decimal"/>
      <w:lvlText w:val="%1)"/>
      <w:lvlJc w:val="left"/>
      <w:pPr>
        <w:ind w:left="55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27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990" w:hanging="29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71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43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150" w:hanging="29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87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59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310" w:hanging="29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2"/>
      <w:numFmt w:val="decimal"/>
      <w:lvlText w:val="%1)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9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9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90"/>
      </w:pPr>
      <w:rPr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3"/>
      <w:numFmt w:val="decimal"/>
      <w:lvlText w:val="%1)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9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9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90"/>
      </w:pPr>
      <w:rPr>
        <w:smallCaps w:val="0"/>
        <w:strike w:val="0"/>
        <w:shd w:fill="auto" w:val="clear"/>
        <w:vertAlign w:val="baseline"/>
      </w:rPr>
    </w:lvl>
  </w:abstractNum>
  <w:abstractNum w:abstractNumId="10">
    <w:lvl w:ilvl="0">
      <w:start w:val="6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3">
    <w:lvl w:ilvl="0">
      <w:start w:val="1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5">
    <w:lvl w:ilvl="0">
      <w:start w:val="2"/>
      <w:numFmt w:val="decimal"/>
      <w:lvlText w:val="%1)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9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9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90"/>
      </w:pPr>
      <w:rPr>
        <w:smallCaps w:val="0"/>
        <w:strike w:val="0"/>
        <w:shd w:fill="auto" w:val="clear"/>
        <w:vertAlign w:val="baseline"/>
      </w:rPr>
    </w:lvl>
  </w:abstractNum>
  <w:abstractNum w:abstractNumId="16">
    <w:lvl w:ilvl="0">
      <w:start w:val="1"/>
      <w:numFmt w:val="decimal"/>
      <w:lvlText w:val="%1)"/>
      <w:lvlJc w:val="left"/>
      <w:pPr>
        <w:ind w:left="720" w:hanging="360"/>
      </w:pPr>
      <w:rPr>
        <w:b w:val="0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95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95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95"/>
      </w:pPr>
      <w:rPr>
        <w:smallCaps w:val="0"/>
        <w:strike w:val="0"/>
        <w:shd w:fill="auto" w:val="clear"/>
        <w:vertAlign w:val="baseline"/>
      </w:rPr>
    </w:lvl>
  </w:abstractNum>
  <w:abstractNum w:abstractNumId="17">
    <w:lvl w:ilvl="0">
      <w:start w:val="1"/>
      <w:numFmt w:val="decimal"/>
      <w:lvlText w:val="%1)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9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9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90"/>
      </w:pPr>
      <w:rPr>
        <w:smallCaps w:val="0"/>
        <w:strike w:val="0"/>
        <w:shd w:fill="auto" w:val="clear"/>
        <w:vertAlign w:val="baseline"/>
      </w:rPr>
    </w:lvl>
  </w:abstractNum>
  <w:abstractNum w:abstractNumId="18">
    <w:lvl w:ilvl="0">
      <w:start w:val="4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19">
    <w:lvl w:ilvl="0">
      <w:start w:val="5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1">
    <w:lvl w:ilvl="0">
      <w:start w:val="2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22">
    <w:lvl w:ilvl="0">
      <w:start w:val="3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  <w:rPr>
      <w:color w:val="000000"/>
      <w:u w:color="000000"/>
    </w:rPr>
  </w:style>
  <w:style w:type="paragraph" w:styleId="Nagwek1">
    <w:name w:val="heading 1"/>
    <w:basedOn w:val="Normalny"/>
    <w:next w:val="Normalny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Nagwek2">
    <w:name w:val="heading 2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Nagwek3">
    <w:name w:val="heading 3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gwek4">
    <w:name w:val="heading 4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Nagwek5">
    <w:name w:val="heading 5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Nagwek6">
    <w:name w:val="heading 6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Normalny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Hipercze">
    <w:name w:val="Hyperlink"/>
    <w:rPr>
      <w:u w:val="single"/>
    </w:rPr>
  </w:style>
  <w:style w:type="table" w:styleId="TableNormal2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color w:val="000000"/>
      <w:u w:color="000000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Helvetica Neue" w:eastAsia="Helvetica Neue" w:hAnsi="Helvetica Neue"/>
      <w:color w:val="000000"/>
      <w:sz w:val="24"/>
      <w:szCs w:val="24"/>
    </w:rPr>
  </w:style>
  <w:style w:type="paragraph" w:styleId="Akapitzlist">
    <w:name w:val="List Paragraph"/>
    <w:pPr>
      <w:ind w:left="720"/>
    </w:pPr>
    <w:rPr>
      <w:color w:val="000000"/>
      <w:u w:color="000000"/>
    </w:rPr>
  </w:style>
  <w:style w:type="numbering" w:styleId="ImportedStyle1" w:customStyle="1">
    <w:name w:val="Imported Style 1"/>
  </w:style>
  <w:style w:type="paragraph" w:styleId="TableStyle2A" w:customStyle="1">
    <w:name w:val="Table Style 2 A"/>
    <w:rPr>
      <w:rFonts w:ascii="Helvetica Neue" w:cs="Arial Unicode MS" w:hAnsi="Helvetica Neue"/>
      <w:color w:val="000000"/>
      <w:u w:color="000000"/>
      <w:lang w:val="en-US"/>
    </w:rPr>
  </w:style>
  <w:style w:type="numbering" w:styleId="ImportedStyle4" w:customStyle="1">
    <w:name w:val="Imported Style 4"/>
  </w:style>
  <w:style w:type="character" w:styleId="Link" w:customStyle="1">
    <w:name w:val="Link"/>
    <w:rPr>
      <w:color w:val="0000ff"/>
      <w:u w:color="0000ff" w:val="single"/>
    </w:rPr>
  </w:style>
  <w:style w:type="character" w:styleId="Hyperlink0" w:customStyle="1">
    <w:name w:val="Hyperlink.0"/>
    <w:basedOn w:val="Link"/>
    <w:rPr>
      <w:color w:val="000000"/>
      <w:u w:color="000000" w:val="single"/>
    </w:rPr>
  </w:style>
  <w:style w:type="character" w:styleId="None" w:customStyle="1">
    <w:name w:val="None"/>
  </w:style>
  <w:style w:type="character" w:styleId="Hyperlink1" w:customStyle="1">
    <w:name w:val="Hyperlink.1"/>
    <w:basedOn w:val="None"/>
  </w:style>
  <w:style w:type="character" w:styleId="Hyperlink2" w:customStyle="1">
    <w:name w:val="Hyperlink.2"/>
    <w:basedOn w:val="Link"/>
    <w:rPr>
      <w:color w:val="000000"/>
      <w:u w:color="000000" w:val="single"/>
      <w:lang w:val="en-US"/>
    </w:rPr>
  </w:style>
  <w:style w:type="character" w:styleId="Hyperlink3" w:customStyle="1">
    <w:name w:val="Hyperlink.3"/>
    <w:basedOn w:val="Link"/>
    <w:rPr>
      <w:color w:val="000000"/>
      <w:u w:color="000000" w:val="single"/>
      <w:lang w:val="en-US"/>
    </w:rPr>
  </w:style>
  <w:style w:type="character" w:styleId="Hyperlink4" w:customStyle="1">
    <w:name w:val="Hyperlink.4"/>
    <w:basedOn w:val="Link"/>
    <w:rPr>
      <w:color w:val="000000"/>
      <w:u w:color="000000" w:val="single"/>
      <w:lang w:val="fr-FR"/>
    </w:rPr>
  </w:style>
  <w:style w:type="paragraph" w:styleId="Stopka">
    <w:name w:val="footer"/>
    <w:basedOn w:val="Normalny"/>
    <w:link w:val="StopkaZnak"/>
    <w:uiPriority w:val="99"/>
    <w:unhideWhenUsed w:val="1"/>
    <w:rsid w:val="00AD5DF1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AD5DF1"/>
    <w:rPr>
      <w:rFonts w:ascii="Calibri" w:cs="Calibri" w:eastAsia="Calibri" w:hAnsi="Calibri"/>
      <w:color w:val="000000"/>
      <w:sz w:val="22"/>
      <w:szCs w:val="22"/>
      <w:u w:color="000000"/>
    </w:rPr>
  </w:style>
  <w:style w:type="table" w:styleId="Tabela-Siatka">
    <w:name w:val="Table Grid"/>
    <w:basedOn w:val="Standardowy"/>
    <w:uiPriority w:val="59"/>
    <w:rsid w:val="00AD5DF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odtytu">
    <w:name w:val="Subtitle"/>
    <w:basedOn w:val="Normalny"/>
    <w:next w:val="Normalny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2"/>
    <w:tblPr>
      <w:tblStyleRowBandSize w:val="1"/>
      <w:tblStyleColBandSize w:val="1"/>
    </w:tblPr>
  </w:style>
  <w:style w:type="table" w:styleId="a0" w:customStyle="1">
    <w:basedOn w:val="TableNormal2"/>
    <w:tblPr>
      <w:tblStyleRowBandSize w:val="1"/>
      <w:tblStyleColBandSize w:val="1"/>
    </w:tblPr>
  </w:style>
  <w:style w:type="table" w:styleId="a1" w:customStyle="1">
    <w:basedOn w:val="TableNormal2"/>
    <w:tblPr>
      <w:tblStyleRowBandSize w:val="1"/>
      <w:tblStyleColBandSize w:val="1"/>
    </w:tblPr>
  </w:style>
  <w:style w:type="table" w:styleId="a2" w:customStyle="1">
    <w:basedOn w:val="TableNormal2"/>
    <w:tblPr>
      <w:tblStyleRowBandSize w:val="1"/>
      <w:tblStyleColBandSize w:val="1"/>
    </w:tblPr>
  </w:style>
  <w:style w:type="table" w:styleId="a3" w:customStyle="1">
    <w:basedOn w:val="TableNormal2"/>
    <w:tblPr>
      <w:tblStyleRowBandSize w:val="1"/>
      <w:tblStyleColBandSize w:val="1"/>
    </w:tblPr>
  </w:style>
  <w:style w:type="table" w:styleId="a4" w:customStyle="1">
    <w:basedOn w:val="TableNormal2"/>
    <w:tblPr>
      <w:tblStyleRowBandSize w:val="1"/>
      <w:tblStyleColBandSize w:val="1"/>
    </w:tblPr>
  </w:style>
  <w:style w:type="table" w:styleId="a5" w:customStyle="1">
    <w:basedOn w:val="TableNormal2"/>
    <w:tblPr>
      <w:tblStyleRowBandSize w:val="1"/>
      <w:tblStyleColBandSize w:val="1"/>
    </w:tblPr>
  </w:style>
  <w:style w:type="table" w:styleId="a6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2"/>
    <w:tblPr>
      <w:tblStyleRowBandSize w:val="1"/>
      <w:tblStyleColBandSize w:val="1"/>
    </w:tblPr>
  </w:style>
  <w:style w:type="table" w:styleId="a8" w:customStyle="1">
    <w:basedOn w:val="TableNormal2"/>
    <w:tblPr>
      <w:tblStyleRowBandSize w:val="1"/>
      <w:tblStyleColBandSize w:val="1"/>
    </w:tblPr>
  </w:style>
  <w:style w:type="table" w:styleId="a9" w:customStyle="1">
    <w:basedOn w:val="TableNormal2"/>
    <w:tblPr>
      <w:tblStyleRowBandSize w:val="1"/>
      <w:tblStyleColBandSize w:val="1"/>
    </w:tblPr>
  </w:style>
  <w:style w:type="table" w:styleId="aa" w:customStyle="1">
    <w:basedOn w:val="TableNormal2"/>
    <w:tblPr>
      <w:tblStyleRowBandSize w:val="1"/>
      <w:tblStyleColBandSize w:val="1"/>
    </w:tblPr>
  </w:style>
  <w:style w:type="table" w:styleId="ab" w:customStyle="1">
    <w:basedOn w:val="TableNormal2"/>
    <w:tblPr>
      <w:tblStyleRowBandSize w:val="1"/>
      <w:tblStyleColBandSize w:val="1"/>
    </w:tblPr>
  </w:style>
  <w:style w:type="table" w:styleId="ac" w:customStyle="1">
    <w:basedOn w:val="TableNormal2"/>
    <w:tblPr>
      <w:tblStyleRowBandSize w:val="1"/>
      <w:tblStyleColBandSize w:val="1"/>
    </w:tblPr>
  </w:style>
  <w:style w:type="table" w:styleId="ad" w:customStyle="1">
    <w:basedOn w:val="TableNormal2"/>
    <w:tblPr>
      <w:tblStyleRowBandSize w:val="1"/>
      <w:tblStyleColBandSize w:val="1"/>
    </w:tblPr>
  </w:style>
  <w:style w:type="table" w:styleId="ae" w:customStyle="1">
    <w:basedOn w:val="TableNormal2"/>
    <w:tblPr>
      <w:tblStyleRowBandSize w:val="1"/>
      <w:tblStyleColBandSize w:val="1"/>
    </w:tblPr>
  </w:style>
  <w:style w:type="table" w:styleId="af" w:customStyle="1">
    <w:basedOn w:val="TableNormal2"/>
    <w:tblPr>
      <w:tblStyleRowBandSize w:val="1"/>
      <w:tblStyleColBandSize w:val="1"/>
    </w:tblPr>
  </w:style>
  <w:style w:type="table" w:styleId="af0" w:customStyle="1">
    <w:basedOn w:val="TableNormal2"/>
    <w:tblPr>
      <w:tblStyleRowBandSize w:val="1"/>
      <w:tblStyleColBandSize w:val="1"/>
    </w:tblPr>
  </w:style>
  <w:style w:type="table" w:styleId="af1" w:customStyle="1">
    <w:basedOn w:val="TableNormal2"/>
    <w:tblPr>
      <w:tblStyleRowBandSize w:val="1"/>
      <w:tblStyleColBandSize w:val="1"/>
    </w:tblPr>
  </w:style>
  <w:style w:type="table" w:styleId="af2" w:customStyle="1">
    <w:basedOn w:val="TableNormal2"/>
    <w:tblPr>
      <w:tblStyleRowBandSize w:val="1"/>
      <w:tblStyleColBandSize w:val="1"/>
    </w:tblPr>
  </w:style>
  <w:style w:type="table" w:styleId="af3" w:customStyle="1">
    <w:basedOn w:val="TableNormal2"/>
    <w:tblPr>
      <w:tblStyleRowBandSize w:val="1"/>
      <w:tblStyleColBandSize w:val="1"/>
    </w:tblPr>
  </w:style>
  <w:style w:type="table" w:styleId="af4" w:customStyle="1">
    <w:basedOn w:val="TableNormal2"/>
    <w:tblPr>
      <w:tblStyleRowBandSize w:val="1"/>
      <w:tblStyleColBandSize w:val="1"/>
    </w:tblPr>
  </w:style>
  <w:style w:type="table" w:styleId="af5" w:customStyle="1">
    <w:basedOn w:val="TableNormal2"/>
    <w:tblPr>
      <w:tblStyleRowBandSize w:val="1"/>
      <w:tblStyleColBandSize w:val="1"/>
    </w:tblPr>
  </w:style>
  <w:style w:type="table" w:styleId="af6" w:customStyle="1">
    <w:basedOn w:val="TableNormal2"/>
    <w:tblPr>
      <w:tblStyleRowBandSize w:val="1"/>
      <w:tblStyleColBandSize w:val="1"/>
    </w:tblPr>
  </w:style>
  <w:style w:type="table" w:styleId="af7" w:customStyle="1">
    <w:basedOn w:val="TableNormal2"/>
    <w:tblPr>
      <w:tblStyleRowBandSize w:val="1"/>
      <w:tblStyleColBandSize w:val="1"/>
    </w:tblPr>
  </w:style>
  <w:style w:type="table" w:styleId="af8" w:customStyle="1">
    <w:basedOn w:val="TableNormal2"/>
    <w:tblPr>
      <w:tblStyleRowBandSize w:val="1"/>
      <w:tblStyleColBandSize w:val="1"/>
    </w:tblPr>
  </w:style>
  <w:style w:type="table" w:styleId="af9" w:customStyle="1">
    <w:basedOn w:val="TableNormal2"/>
    <w:tblPr>
      <w:tblStyleRowBandSize w:val="1"/>
      <w:tblStyleColBandSize w:val="1"/>
    </w:tblPr>
  </w:style>
  <w:style w:type="table" w:styleId="afa" w:customStyle="1">
    <w:basedOn w:val="TableNormal2"/>
    <w:tblPr>
      <w:tblStyleRowBandSize w:val="1"/>
      <w:tblStyleColBandSize w:val="1"/>
    </w:tblPr>
  </w:style>
  <w:style w:type="table" w:styleId="afb" w:customStyle="1">
    <w:basedOn w:val="TableNormal2"/>
    <w:tblPr>
      <w:tblStyleRowBandSize w:val="1"/>
      <w:tblStyleColBandSize w:val="1"/>
    </w:tblPr>
  </w:style>
  <w:style w:type="table" w:styleId="afc" w:customStyle="1">
    <w:basedOn w:val="TableNormal2"/>
    <w:tblPr>
      <w:tblStyleRowBandSize w:val="1"/>
      <w:tblStyleColBandSize w:val="1"/>
    </w:tblPr>
  </w:style>
  <w:style w:type="table" w:styleId="afd" w:customStyle="1">
    <w:basedOn w:val="TableNormal2"/>
    <w:tblPr>
      <w:tblStyleRowBandSize w:val="1"/>
      <w:tblStyleColBandSize w:val="1"/>
    </w:tblPr>
  </w:style>
  <w:style w:type="table" w:styleId="afe" w:customStyle="1">
    <w:basedOn w:val="TableNormal2"/>
    <w:tblPr>
      <w:tblStyleRowBandSize w:val="1"/>
      <w:tblStyleColBandSize w:val="1"/>
    </w:tblPr>
  </w:style>
  <w:style w:type="table" w:styleId="aff" w:customStyle="1">
    <w:basedOn w:val="TableNormal2"/>
    <w:tblPr>
      <w:tblStyleRowBandSize w:val="1"/>
      <w:tblStyleColBandSize w:val="1"/>
    </w:tblPr>
  </w:style>
  <w:style w:type="table" w:styleId="aff0" w:customStyle="1">
    <w:basedOn w:val="TableNormal2"/>
    <w:tblPr>
      <w:tblStyleRowBandSize w:val="1"/>
      <w:tblStyleColBandSize w:val="1"/>
    </w:tblPr>
  </w:style>
  <w:style w:type="table" w:styleId="aff1" w:customStyle="1">
    <w:basedOn w:val="TableNormal2"/>
    <w:tblPr>
      <w:tblStyleRowBandSize w:val="1"/>
      <w:tblStyleColBandSize w:val="1"/>
    </w:tblPr>
  </w:style>
  <w:style w:type="table" w:styleId="aff2" w:customStyle="1">
    <w:basedOn w:val="TableNormal2"/>
    <w:tblPr>
      <w:tblStyleRowBandSize w:val="1"/>
      <w:tblStyleColBandSize w:val="1"/>
    </w:tblPr>
  </w:style>
  <w:style w:type="table" w:styleId="aff3" w:customStyle="1">
    <w:basedOn w:val="TableNormal2"/>
    <w:tblPr>
      <w:tblStyleRowBandSize w:val="1"/>
      <w:tblStyleColBandSize w:val="1"/>
    </w:tblPr>
  </w:style>
  <w:style w:type="character" w:styleId="Odwoaniedokomentarza">
    <w:name w:val="annotation reference"/>
    <w:basedOn w:val="Domylnaczcionkaakapitu"/>
    <w:uiPriority w:val="99"/>
    <w:semiHidden w:val="1"/>
    <w:unhideWhenUsed w:val="1"/>
    <w:rsid w:val="00E959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 w:val="1"/>
    <w:unhideWhenUsed w:val="1"/>
    <w:rsid w:val="00E959DC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 w:val="1"/>
    <w:rsid w:val="00E959DC"/>
    <w:rPr>
      <w:color w:val="000000"/>
      <w:sz w:val="20"/>
      <w:szCs w:val="20"/>
      <w:u w:color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E959DC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E959DC"/>
    <w:rPr>
      <w:b w:val="1"/>
      <w:bCs w:val="1"/>
      <w:color w:val="000000"/>
      <w:sz w:val="20"/>
      <w:szCs w:val="20"/>
      <w:u w:color="000000"/>
    </w:rPr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E959D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E959DC"/>
    <w:rPr>
      <w:rFonts w:ascii="Tahoma" w:cs="Tahoma" w:hAnsi="Tahoma"/>
      <w:color w:val="000000"/>
      <w:sz w:val="16"/>
      <w:szCs w:val="16"/>
      <w:u w:color="000000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nimoz.pl/upload/szkolenia/Audiodeskrypcja_-_zasady_tworzenia.pdf" TargetMode="External"/><Relationship Id="rId10" Type="http://schemas.openxmlformats.org/officeDocument/2006/relationships/hyperlink" Target="http://msradio.huji.ac.il/narration.doc" TargetMode="External"/><Relationship Id="rId13" Type="http://schemas.openxmlformats.org/officeDocument/2006/relationships/hyperlink" Target="http://www.adlabproject.eu/Docs/adlab%2520book/" TargetMode="External"/><Relationship Id="rId12" Type="http://schemas.openxmlformats.org/officeDocument/2006/relationships/hyperlink" Target="https://www.memoq.com/Kilgray/media/Download/LocLand-Gaming-Localization.pd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omedes.com/translator-hub/game-localization-guide" TargetMode="External"/><Relationship Id="rId15" Type="http://schemas.openxmlformats.org/officeDocument/2006/relationships/hyperlink" Target="http://avt.ils.uw.edu.pl/files/2010/12/AD-_standardy_tworzenia.pdf" TargetMode="External"/><Relationship Id="rId14" Type="http://schemas.openxmlformats.org/officeDocument/2006/relationships/hyperlink" Target="https://summalinguae.com/localization/video-game-localization-guide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englobe.com/wp-content/uploads/2012/05/Best-Practices-for-Game-Localization-v21.pdf" TargetMode="External"/><Relationship Id="rId8" Type="http://schemas.openxmlformats.org/officeDocument/2006/relationships/hyperlink" Target="https://dzieciom.pl/wp-content/uploads/2012/09/Napisy-dla-nieslyszacych-zasady-tworzenia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/kWauh2SnlyesTXSkVPpJrvTsg==">CgMxLjAyCGguZ2pkZ3hzMgloLjFmb2I5dGUyCWguMzBqMHpsbDgAciExellNS2ctbVlfbDVfZV8tRG1ycjI2Sk1YSzJIM01adHQ=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2021-09-22T09:40:00Z</dcterms:created>
</cp:coreProperties>
</file>