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32"/>
          <w:tab w:val="center" w:leader="none" w:pos="4703"/>
        </w:tabs>
        <w:spacing w:after="240"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nauka języka angielskiego – gramatyka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–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mgr Marta Przewłocka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01"/>
        <w:gridCol w:w="2402"/>
        <w:gridCol w:w="2401"/>
        <w:gridCol w:w="2402"/>
        <w:tblGridChange w:id="0">
          <w:tblGrid>
            <w:gridCol w:w="2401"/>
            <w:gridCol w:w="2402"/>
            <w:gridCol w:w="2401"/>
            <w:gridCol w:w="24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I, 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Poziom znajomości języka angielskiego w I semestrze przynajmniej B1+.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Cele kształcenia dla przedmiotu </w:t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8"/>
        <w:gridCol w:w="8647"/>
        <w:tblGridChange w:id="0">
          <w:tblGrid>
            <w:gridCol w:w="908"/>
            <w:gridCol w:w="8647"/>
          </w:tblGrid>
        </w:tblGridChange>
      </w:tblGrid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C_01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Utrwalenie i rozwijanie umiejętności poprawnego stosowania zaawansowanych struktur gramatycznych (szczegółowe treści programowe są przedstawione w punkcie IV) w zależności od kontekstu/sytuacji komunikacyjnej i intencji użytkownika języka.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Wykształcenie umiejętności unikania interferencji językowej poprzez świadomość wpływu gramatyki języka polskiego na praktyczne użycie języka angielskiego.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Opanowanie stopnia kompetencji językowej odpowiadającej poziomowi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B2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zgodnie z 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406.000000000002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7"/>
        <w:gridCol w:w="5442"/>
        <w:gridCol w:w="3077"/>
        <w:tblGridChange w:id="0">
          <w:tblGrid>
            <w:gridCol w:w="887"/>
            <w:gridCol w:w="5442"/>
            <w:gridCol w:w="3077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czasy i struktury gramatyczne omawiane w semestrze I i II kursu.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wymienia formy fleksyjne czasowników nieregularnych.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używa poprawnych struktur gramatycznych utrwalanych na zajęciach w semestrze I i II w celu logicznego i swobodnego wyrażenia swoich myśli i poglądów w języku angielskim.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organizuje pracę indywidualną i zespołową w czasie zajęć.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wykazuje otwartość na informację zwrotną prowadzącego i innych studentów dotyczącą poprawności użytych struktur gramatycznych.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55.0" w:type="dxa"/>
        <w:jc w:val="left"/>
        <w:tblInd w:w="3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</w:tblBorders>
        <w:tblLayout w:type="fixed"/>
        <w:tblLook w:val="0400"/>
      </w:tblPr>
      <w:tblGrid>
        <w:gridCol w:w="4860"/>
        <w:gridCol w:w="4695"/>
        <w:tblGridChange w:id="0">
          <w:tblGrid>
            <w:gridCol w:w="4860"/>
            <w:gridCol w:w="4695"/>
          </w:tblGrid>
        </w:tblGridChange>
      </w:tblGrid>
      <w:tr>
        <w:trPr>
          <w:cantSplit w:val="0"/>
          <w:trHeight w:val="4191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dash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Czasy gramatyczne: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Simple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Continuous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Simple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Perfect Continuous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Perfect Simple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Perfect Continuous</w:t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198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198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Czasy gramatyczne: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119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Simple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119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Continuous,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119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Future Perfect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119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inne sposoby wyrażania przyszłości;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Strona bierna;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Zdania warunkowe;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Inwersja; 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Czasowniki nieregularne.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ind w:left="48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55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6"/>
        <w:gridCol w:w="2374"/>
        <w:gridCol w:w="2861"/>
        <w:gridCol w:w="3434"/>
        <w:tblGridChange w:id="0">
          <w:tblGrid>
            <w:gridCol w:w="886"/>
            <w:gridCol w:w="2374"/>
            <w:gridCol w:w="2861"/>
            <w:gridCol w:w="3434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wprowadzający, praca pod kierunkiem, dyskusja.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pisemny, obserwacja, odpowiedź ustna w czasie zajęć sprawdzająca wiedzę praktyczną.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wprowadzający, praca indywidualna studenta.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 wykonywane indywidualnie lub w parach.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Obserwacja.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Zapis w arkuszu ocen.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Obserwacja.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Zapis w arkuszu ocen.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7.0" w:type="dxa"/>
        <w:jc w:val="left"/>
        <w:tblInd w:w="3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rHeight w:val="2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Studenci oceniani są na podstawie wyników sprawdzianów pisemnych weryfikujących zdobytą wiedzę i umiejętności w zakresie zastosowania gramatyki języka angielskiego w różnych kontekstach. Generalnie, nie ma możliwości poprawiania testów. Przez cały okres trwania kursu, student zbiera punkty / cząstkowe oceny, na podstawie których wystawiona zostaje ocena końcowa.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Oceny wystawiane są według następującej skali: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  <w:tab/>
              <w:t xml:space="preserve">100-92%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4.5</w:t>
              <w:tab/>
              <w:t xml:space="preserve">91,5-84%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  <w:tab/>
              <w:t xml:space="preserve">83,5-76%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3.5</w:t>
              <w:tab/>
              <w:t xml:space="preserve">75,5-68%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  <w:tab/>
              <w:t xml:space="preserve">67,5-60%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  <w:tab/>
              <w:t xml:space="preserve">59,5-0%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sytuacjach wyjątkowych prowadzący ma możliwość podjąć kroki nieopisane szczegółowo w karcie przedmiotu.</w:t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10"/>
        <w:tblW w:w="955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5195"/>
        <w:tblGridChange w:id="0">
          <w:tblGrid>
            <w:gridCol w:w="4360"/>
            <w:gridCol w:w="519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Literatura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5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63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Foley, M. and D. Hall.2012.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My Grammar Lab. Advanced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Pearson Education Limited.</w:t>
            </w:r>
          </w:p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Hewings, M. 2007.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Grammar in Use.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CUP.</w:t>
            </w:r>
          </w:p>
          <w:p w:rsidR="00000000" w:rsidDel="00000000" w:rsidP="00000000" w:rsidRDefault="00000000" w:rsidRPr="00000000" w14:paraId="000000D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A.J. Thomson, A.V. Martinet,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 Practical English 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OUP, 1988</w:t>
            </w:r>
          </w:p>
          <w:p w:rsidR="00000000" w:rsidDel="00000000" w:rsidP="00000000" w:rsidRDefault="00000000" w:rsidRPr="00000000" w14:paraId="000000D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Vince,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Language Practice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Macmillan Heinemann, 1994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551" w:hanging="5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63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Foley, D. Hall,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Learners’ 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Longman, 2003</w:t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 Gethin,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Grammar in Context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Longman. 1990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B.D. Graver,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English Practice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OUP, 1997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R. Side, G. Wellman,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Grammar and Vocabulary for Cambridge Advanced and Proficiency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Longman, 2000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color w:val="000000"/>
      <w:u w:color="000000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</w:rPr>
  </w:style>
  <w:style w:type="paragraph" w:styleId="BodyA" w:customStyle="1">
    <w:name w:val="Body A"/>
    <w:rPr>
      <w:rFonts w:ascii="Calibri" w:cs="Calibri" w:eastAsia="Calibri" w:hAnsi="Calibri"/>
      <w:color w:val="000000"/>
      <w:u w:color="000000"/>
    </w:rPr>
  </w:style>
  <w:style w:type="numbering" w:styleId="ImportedStyle1" w:customStyle="1">
    <w:name w:val="Imported Style 1"/>
  </w:style>
  <w:style w:type="numbering" w:styleId="ImportedStyle2" w:customStyle="1">
    <w:name w:val="Imported Style 2"/>
  </w:style>
  <w:style w:type="numbering" w:styleId="ImportedStyle3" w:customStyle="1">
    <w:name w:val="Imported Style 3"/>
  </w:style>
  <w:style w:type="numbering" w:styleId="ImportedStyle4" w:customStyle="1">
    <w:name w:val="Imported Style 4"/>
  </w:style>
  <w:style w:type="paragraph" w:styleId="BodyAA" w:customStyle="1">
    <w:name w:val="Body A A"/>
    <w:rPr>
      <w:rFonts w:ascii="Helvetica Neue" w:cs="Arial Unicode MS" w:hAnsi="Helvetica Neue"/>
      <w:color w:val="000000"/>
      <w:sz w:val="22"/>
      <w:szCs w:val="22"/>
      <w:u w:color="000000"/>
    </w:rPr>
  </w:style>
  <w:style w:type="numbering" w:styleId="ImportedStyle5" w:customStyle="1">
    <w:name w:val="Imported Style 5"/>
  </w:style>
  <w:style w:type="numbering" w:styleId="ImportedStyle6" w:customStyle="1">
    <w:name w:val="Imported Style 6"/>
  </w:style>
  <w:style w:type="numbering" w:styleId="ImportedStyle7" w:customStyle="1">
    <w:name w:val="Imported Style 7"/>
  </w:style>
  <w:style w:type="numbering" w:styleId="ImportedStyle8" w:customStyle="1">
    <w:name w:val="Imported Style 8"/>
  </w:style>
  <w:style w:type="paragraph" w:styleId="Stopka">
    <w:name w:val="footer"/>
    <w:basedOn w:val="Normalny"/>
    <w:link w:val="StopkaZnak"/>
    <w:uiPriority w:val="99"/>
    <w:unhideWhenUsed w:val="1"/>
    <w:rsid w:val="002779C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779CF"/>
    <w:rPr>
      <w:rFonts w:eastAsia="Times New Roman"/>
      <w:color w:val="000000"/>
      <w:sz w:val="24"/>
      <w:szCs w:val="24"/>
      <w:u w:color="000000"/>
      <w:lang w:val="en-US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table" w:styleId="af" w:customStyle="1">
    <w:basedOn w:val="TableNormal1"/>
    <w:tblPr>
      <w:tblStyleRowBandSize w:val="1"/>
      <w:tblStyleColBandSize w:val="1"/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table" w:styleId="af4" w:customStyle="1">
    <w:basedOn w:val="TableNormal1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 w:val="1"/>
    <w:rsid w:val="00754AF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Zlt7TQbZszRHgyaL2NtFzKZFCA==">CgMxLjAyCWguMzBqMHpsbDIIaC5namRneHMyCWguMWZvYjl0ZTgAciExRTR2MTNIZWtBZldrekpYcDUzbkhtNTF5QTJ1SS1aWkg=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2021-09-27T06:42:00Z</dcterms:created>
  <dc:creator>Krzysztof Skórski</dc:creator>
</cp:coreProperties>
</file>