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3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18"/>
        <w:gridCol w:w="4820"/>
        <w:tblGridChange w:id="0">
          <w:tblGrid>
            <w:gridCol w:w="4418"/>
            <w:gridCol w:w="482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Praktyczna nauka języka angielskiego – tłumaczenia pisemne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Practical English – translation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angielski, język polski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3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18"/>
        <w:gridCol w:w="4820"/>
        <w:tblGridChange w:id="0">
          <w:tblGrid>
            <w:gridCol w:w="4418"/>
            <w:gridCol w:w="4820"/>
          </w:tblGrid>
        </w:tblGridChange>
      </w:tblGrid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mgr Krzysztof Skórski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3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00"/>
        <w:gridCol w:w="1940"/>
        <w:gridCol w:w="2380"/>
        <w:gridCol w:w="2718"/>
        <w:tblGridChange w:id="0">
          <w:tblGrid>
            <w:gridCol w:w="2200"/>
            <w:gridCol w:w="1940"/>
            <w:gridCol w:w="2380"/>
            <w:gridCol w:w="2718"/>
          </w:tblGrid>
        </w:tblGridChange>
      </w:tblGrid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Punkty ECTS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I, 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3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00"/>
        <w:gridCol w:w="7038"/>
        <w:tblGridChange w:id="0">
          <w:tblGrid>
            <w:gridCol w:w="2200"/>
            <w:gridCol w:w="7038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Znajomość języka angielskiego zgodna z wymaganiami stawianymi studentom, którzy ukończyli studia I stopnia.</w:t>
            </w:r>
          </w:p>
        </w:tc>
      </w:tr>
    </w:tbl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0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C1 Zapoznanie z warsztatem pracy tłumacza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C2 Rozwijanie umiejętności przekładowych tekstów ogólnych</w:t>
            </w:r>
          </w:p>
        </w:tc>
      </w:tr>
    </w:tbl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20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17"/>
        <w:gridCol w:w="6403"/>
        <w:gridCol w:w="1984"/>
        <w:tblGridChange w:id="0">
          <w:tblGrid>
            <w:gridCol w:w="817"/>
            <w:gridCol w:w="6403"/>
            <w:gridCol w:w="198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Student analizuje teksty poddawane tłumaczeniu napisane zarówno w języku polskim jak w angielskim w odniesieniu do ich struktury językowej, stylu, rejestru i cech kontrastywnych.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K_W03, K_W06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Student podczas przekładu </w:t>
            </w:r>
            <w:r w:rsidDel="00000000" w:rsidR="00000000" w:rsidRPr="00000000">
              <w:rPr>
                <w:rtl w:val="0"/>
              </w:rPr>
              <w:t xml:space="preserve">dobiera </w:t>
            </w:r>
            <w:r w:rsidDel="00000000" w:rsidR="00000000" w:rsidRPr="00000000">
              <w:rPr>
                <w:rtl w:val="0"/>
              </w:rPr>
              <w:t xml:space="preserve">odpowiednie źródła, słowniki i zasoby internetowe.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K_W09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Student organizuje swój warsztat tłumacza w oparciu o poznane techniki i strategie tłumaczeniowe.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K_W10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Student tworzy poprawne językowo i merytorycznie tłumaczenia w oparciu o dostępne zasoby i narzędzia cyfrowe.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K_U03, K_U04 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Student dyskutuje na tematy związane z tłumaczeniem i technikami tłumaczeniowymi z użyciem odpowiedniej terminologii.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K_U05, K_U06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wykonuje tłumaczenia samodzielnie i w grupie.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K_U08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Student poddaje krytycznej ocenie własną wiedzę i umiejętności, a także innych uczestników zajęć w zakresie tłumaczeń.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K_K01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Student akceptuje konieczność odwoływania się do wiedzy eksperckiej, m.in. słowników, rzetelnych źródeł, sugestii prowadzącego.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K_K02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Student wykazuje odpowiedzialność za rzetelne wykonywanie swojej pracy.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K_K05, K_K06</w:t>
            </w:r>
          </w:p>
        </w:tc>
      </w:tr>
    </w:tbl>
    <w:p w:rsidR="00000000" w:rsidDel="00000000" w:rsidP="00000000" w:rsidRDefault="00000000" w:rsidRPr="00000000" w14:paraId="0000007D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 / treści programowe</w:t>
      </w:r>
    </w:p>
    <w:tbl>
      <w:tblPr>
        <w:tblStyle w:val="Table7"/>
        <w:tblW w:w="920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Strategie i techniki w tłumaczeniach pisemnych. Elementy gramatyki kontrastywnej (podstawowe zagadnienia leksykalno-gramatyczne). Konwencje zapisu w ujęciu kontrastywnym. Tłumaczenie wybranych tekstów.</w:t>
            </w:r>
          </w:p>
        </w:tc>
      </w:tr>
    </w:tbl>
    <w:p w:rsidR="00000000" w:rsidDel="00000000" w:rsidP="00000000" w:rsidRDefault="00000000" w:rsidRPr="00000000" w14:paraId="0000007F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9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1"/>
        <w:gridCol w:w="3118"/>
        <w:gridCol w:w="2410"/>
        <w:gridCol w:w="2727"/>
        <w:tblGridChange w:id="0">
          <w:tblGrid>
            <w:gridCol w:w="841"/>
            <w:gridCol w:w="3118"/>
            <w:gridCol w:w="2410"/>
            <w:gridCol w:w="2727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praca z tekstem, studium przypadku, praca pod kierunkiem, learning by doing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praca z tekstem, studium przypadku, praca pod kierunkiem, learning by doing, blended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burza mózgów, praca z tekstem, studium przypadku, learning by doing, blended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Ćwiczenia praktyczne, analiza tekstu, praca pod kierunkiem, praca zespołowa, learning by doing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sprawdzian.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analiza tekstu, burza mózgów/giełda pomysłów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Sprawdzian pisemny, 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Uzupełniony i sprawdzony sprawdzian, karta oceny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Ćwiczenia praktyczne, analiza tekstu, praca zespołowa, learning by doing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metoda projektu, </w:t>
            </w:r>
            <w:r w:rsidDel="00000000" w:rsidR="00000000" w:rsidRPr="00000000">
              <w:rPr>
                <w:rtl w:val="0"/>
              </w:rPr>
              <w:t xml:space="preserve">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pisemny, 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sprawdzian, karta oceny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Dyskusja, metoda projektu, praca w grupach w różnych rolach, blended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Dyskusja, metoda projektu, praca w grupach w różnych rolach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Praca pisemna, sprawdzian pisemny, 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Oceniony tekst pracy pisemnej, uzupełniony i sprawdzony sprawdzian, karta oceny</w:t>
            </w:r>
          </w:p>
        </w:tc>
      </w:tr>
    </w:tbl>
    <w:p w:rsidR="00000000" w:rsidDel="00000000" w:rsidP="00000000" w:rsidRDefault="00000000" w:rsidRPr="00000000" w14:paraId="000000B4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Podstawą zaliczenia przedmiotu jest obecność (z możliwością 2 nieobecności nieusprawiedliwionych) oraz aktywność na zajęciach.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Ocena końcowa jest obliczana na podstawie: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projektu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pisemnego tłumaczenia tekstu ze zbioru zaproponowanego przez prowadzącego, (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0% oceny końcowej);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 domowych: krótkich tekstów do przekładu w domu i zadań z ni</w:t>
      </w:r>
      <w:r w:rsidDel="00000000" w:rsidR="00000000" w:rsidRPr="00000000">
        <w:rPr>
          <w:rtl w:val="0"/>
        </w:rPr>
        <w:t xml:space="preserve">mi związanych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(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0% oceny końcowej);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pracy na zajęciach, aktywności, pracy w </w:t>
      </w:r>
      <w:r w:rsidDel="00000000" w:rsidR="00000000" w:rsidRPr="00000000">
        <w:rPr>
          <w:rtl w:val="0"/>
        </w:rPr>
        <w:t xml:space="preserve">zespole, przyjmowania różnych ról podczas procesu przekładu oraz zadań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indywidualnych (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0% oceny końcowej).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color w:val="000000"/>
          <w:rtl w:val="0"/>
        </w:rPr>
        <w:t xml:space="preserve">Wynik końcowy jest średnią ważoną wyników wszystkich zadań. Poszczególne wagi są obliczane na podstawie maksymalnej liczby punktów do uzyskania w każdym zadaniu. Tego rodzaju średnia równa się stosunkowi sumy uzyskanych przez studenta punktów do maksymalnej liczby punktów możliwych do uzyskania w danym semestrze.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color w:val="000000"/>
          <w:rtl w:val="0"/>
        </w:rPr>
        <w:t xml:space="preserve">Skala ocen końcowych to: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5     93-100%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4.5  85-92%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4     77-84%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3.5  69-76%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3     60-68%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2     0-59%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  <w:t xml:space="preserve">164</w:t>
            </w:r>
          </w:p>
        </w:tc>
      </w:tr>
    </w:tbl>
    <w:p w:rsidR="00000000" w:rsidDel="00000000" w:rsidP="00000000" w:rsidRDefault="00000000" w:rsidRPr="00000000" w14:paraId="000000C5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Belczyk, A. 2014. </w:t>
            </w:r>
            <w:r w:rsidDel="00000000" w:rsidR="00000000" w:rsidRPr="00000000">
              <w:rPr>
                <w:i w:val="1"/>
                <w:rtl w:val="0"/>
              </w:rPr>
              <w:t xml:space="preserve">Poradnik tłumacza.</w:t>
            </w:r>
            <w:r w:rsidDel="00000000" w:rsidR="00000000" w:rsidRPr="00000000">
              <w:rPr>
                <w:rtl w:val="0"/>
              </w:rPr>
              <w:t xml:space="preserve"> Bielsko-Biała: Wydawnictwo Dla Szkoły.</w:t>
            </w:r>
          </w:p>
          <w:p w:rsidR="00000000" w:rsidDel="00000000" w:rsidP="00000000" w:rsidRDefault="00000000" w:rsidRPr="00000000" w14:paraId="000000C8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Douglas-Kozłowska, C. 2011. </w:t>
            </w:r>
            <w:r w:rsidDel="00000000" w:rsidR="00000000" w:rsidRPr="00000000">
              <w:rPr>
                <w:i w:val="1"/>
                <w:rtl w:val="0"/>
              </w:rPr>
              <w:t xml:space="preserve">Difficult Words in Polish-English Translation</w:t>
            </w:r>
            <w:r w:rsidDel="00000000" w:rsidR="00000000" w:rsidRPr="00000000">
              <w:rPr>
                <w:rtl w:val="0"/>
              </w:rPr>
              <w:t xml:space="preserve">. Warszawa: Wydawnictwo Naukowe PWN.</w:t>
            </w:r>
          </w:p>
          <w:p w:rsidR="00000000" w:rsidDel="00000000" w:rsidP="00000000" w:rsidRDefault="00000000" w:rsidRPr="00000000" w14:paraId="000000C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Korzeniowska, A. and Kuhiwczak, P. 2005. </w:t>
            </w:r>
            <w:r w:rsidDel="00000000" w:rsidR="00000000" w:rsidRPr="00000000">
              <w:rPr>
                <w:i w:val="1"/>
                <w:rtl w:val="0"/>
              </w:rPr>
              <w:t xml:space="preserve">Successful Polish-English Translation. Tricks of the Trade</w:t>
            </w:r>
            <w:r w:rsidDel="00000000" w:rsidR="00000000" w:rsidRPr="00000000">
              <w:rPr>
                <w:rtl w:val="0"/>
              </w:rPr>
              <w:t xml:space="preserve">. Warszawa: Wydawnictwo Naukowe PWN.</w:t>
            </w:r>
          </w:p>
          <w:p w:rsidR="00000000" w:rsidDel="00000000" w:rsidP="00000000" w:rsidRDefault="00000000" w:rsidRPr="00000000" w14:paraId="000000CA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Macpherson, R. 2007. </w:t>
            </w:r>
            <w:r w:rsidDel="00000000" w:rsidR="00000000" w:rsidRPr="00000000">
              <w:rPr>
                <w:i w:val="1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rtl w:val="0"/>
              </w:rPr>
              <w:t xml:space="preserve">. Warszawa: Wydawnictwo Naukowe PWN.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Baker, M. 1992. </w:t>
            </w:r>
            <w:r w:rsidDel="00000000" w:rsidR="00000000" w:rsidRPr="00000000">
              <w:rPr>
                <w:i w:val="1"/>
                <w:rtl w:val="0"/>
              </w:rPr>
              <w:t xml:space="preserve">In Other Words: A Coursebook on Translation</w:t>
            </w:r>
            <w:r w:rsidDel="00000000" w:rsidR="00000000" w:rsidRPr="00000000">
              <w:rPr>
                <w:rtl w:val="0"/>
              </w:rPr>
              <w:t xml:space="preserve">. London: Routledge. 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Bell, R. T. 1991. </w:t>
            </w:r>
            <w:r w:rsidDel="00000000" w:rsidR="00000000" w:rsidRPr="00000000">
              <w:rPr>
                <w:i w:val="1"/>
                <w:rtl w:val="0"/>
              </w:rPr>
              <w:t xml:space="preserve">Translation and Translating: Theory and Practice</w:t>
            </w:r>
            <w:r w:rsidDel="00000000" w:rsidR="00000000" w:rsidRPr="00000000">
              <w:rPr>
                <w:rtl w:val="0"/>
              </w:rPr>
              <w:t xml:space="preserve">. London: Longman. </w:t>
            </w:r>
          </w:p>
          <w:p w:rsidR="00000000" w:rsidDel="00000000" w:rsidP="00000000" w:rsidRDefault="00000000" w:rsidRPr="00000000" w14:paraId="000000CE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Munday, J. 2001. </w:t>
            </w:r>
            <w:r w:rsidDel="00000000" w:rsidR="00000000" w:rsidRPr="00000000">
              <w:rPr>
                <w:i w:val="1"/>
                <w:rtl w:val="0"/>
              </w:rPr>
              <w:t xml:space="preserve">Introducing Translation Studies</w:t>
            </w:r>
            <w:r w:rsidDel="00000000" w:rsidR="00000000" w:rsidRPr="00000000">
              <w:rPr>
                <w:rtl w:val="0"/>
              </w:rPr>
              <w:t xml:space="preserve">. London: Routledge.</w:t>
            </w:r>
          </w:p>
          <w:p w:rsidR="00000000" w:rsidDel="00000000" w:rsidP="00000000" w:rsidRDefault="00000000" w:rsidRPr="00000000" w14:paraId="000000CF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Samuelsson-Brown, G. 2010. </w:t>
            </w:r>
            <w:r w:rsidDel="00000000" w:rsidR="00000000" w:rsidRPr="00000000">
              <w:rPr>
                <w:i w:val="1"/>
                <w:rtl w:val="0"/>
              </w:rPr>
              <w:t xml:space="preserve">A Practical Guide for Translators</w:t>
            </w:r>
            <w:r w:rsidDel="00000000" w:rsidR="00000000" w:rsidRPr="00000000">
              <w:rPr>
                <w:rtl w:val="0"/>
              </w:rPr>
              <w:t xml:space="preserve">. 5th edition. Bristol, Buffalo, Toronto: Multilingual Matters.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709" w:hanging="70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709" w:hanging="70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1943C4"/>
    <w:rPr>
      <w:rFonts w:cs="Calibri" w:eastAsia="Calibri"/>
      <w:sz w:val="22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124E5"/>
    <w:pPr>
      <w:keepNext w:val="1"/>
      <w:numPr>
        <w:numId w:val="2"/>
      </w:numPr>
      <w:spacing w:after="120" w:before="240"/>
      <w:ind w:left="709" w:hanging="709"/>
      <w:outlineLvl w:val="0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2" w:customStyle="1">
    <w:name w:val="Imported Style 2"/>
    <w:pPr>
      <w:numPr>
        <w:numId w:val="6"/>
      </w:numPr>
    </w:pPr>
  </w:style>
  <w:style w:type="numbering" w:styleId="ImportedStyle3" w:customStyle="1">
    <w:name w:val="Imported Style 3"/>
    <w:pPr>
      <w:numPr>
        <w:numId w:val="10"/>
      </w:numPr>
    </w:pPr>
  </w:style>
  <w:style w:type="numbering" w:styleId="ImportedStyle4" w:customStyle="1">
    <w:name w:val="Imported Style 4"/>
    <w:pPr>
      <w:numPr>
        <w:numId w:val="15"/>
      </w:numPr>
    </w:pPr>
  </w:style>
  <w:style w:type="character" w:styleId="Nagwek1Znak" w:customStyle="1">
    <w:name w:val="Nagłówek 1 Znak"/>
    <w:basedOn w:val="Domylnaczcionkaakapitu"/>
    <w:link w:val="Nagwek1"/>
    <w:uiPriority w:val="9"/>
    <w:rsid w:val="006124E5"/>
    <w:rPr>
      <w:rFonts w:cs="Calibri" w:eastAsia="Calibri"/>
      <w:b w:val="1"/>
      <w:bCs w:val="1"/>
      <w:sz w:val="22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q4NPHvL0C9746hHrYUwk5Af8Q==">CgMxLjAyCGguZ2pkZ3hzOABqKAoUc3VnZ2VzdC4zbXY4d3BsdW5kZ2QSEMWBdWthc3ogQm9yb3dpZWNqKAoUc3VnZ2VzdC5oY3ltbGN0NTZpcjQSEMWBdWthc3ogQm9yb3dpZWNyITFXTWVEaE91RDl0ekgxNThqdE9VaFV2Q0x4Nm5qZ2tFRA==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2021-06-25T15:57:00Z</dcterms:created>
</cp:coreProperties>
</file>